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75B6A4" w14:textId="77777777" w:rsidR="00BA7812" w:rsidRDefault="00BA7812">
      <w:pPr>
        <w:rPr>
          <w:rFonts w:ascii="黑体" w:eastAsia="黑体" w:hAnsi="黑体" w:hint="eastAsia"/>
          <w:sz w:val="32"/>
          <w:szCs w:val="32"/>
        </w:rPr>
      </w:pPr>
    </w:p>
    <w:p w14:paraId="53EC6042" w14:textId="77777777" w:rsidR="00BA7812" w:rsidRDefault="00BA7812">
      <w:pPr>
        <w:jc w:val="center"/>
        <w:rPr>
          <w:rFonts w:ascii="方正小标宋_GBK" w:eastAsia="方正小标宋_GBK" w:hAnsi="宋体" w:hint="eastAsia"/>
          <w:sz w:val="44"/>
          <w:szCs w:val="44"/>
        </w:rPr>
      </w:pPr>
    </w:p>
    <w:p w14:paraId="2E35A409" w14:textId="2EC6B2C8"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中共木垒哈萨克自治县直属机关工作委会</w:t>
      </w:r>
    </w:p>
    <w:p w14:paraId="5AE2C1DD"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483417E5" w14:textId="77777777" w:rsidR="00BA7812"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1859984" w14:textId="77777777" w:rsidR="00BA7812"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4D5F10F4" w14:textId="77777777" w:rsidR="00BA7812"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531A3CBA" w14:textId="77777777" w:rsidR="00BA7812"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BA7812">
          <w:rPr>
            <w:rFonts w:ascii="仿宋_GB2312" w:eastAsia="仿宋_GB2312" w:hAnsi="仿宋_GB2312" w:cs="仿宋_GB2312" w:hint="eastAsia"/>
            <w:b/>
            <w:bCs/>
            <w:sz w:val="32"/>
            <w:szCs w:val="32"/>
          </w:rPr>
          <w:t>第一部分 单位概况</w:t>
        </w:r>
      </w:hyperlink>
    </w:p>
    <w:p w14:paraId="30988E7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79EAF2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4DB2DE16"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61FEC7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062C4413"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6B3C32E4"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7F7932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678741DD"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4AF6A0D0"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72842A1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5350C9F1"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5D6004EE" w14:textId="77777777" w:rsidR="00BA7812" w:rsidRDefault="00BA7812">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47AA0B42"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617EB2EC"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54A300AB"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0C5D8068" w14:textId="77777777" w:rsidR="00BA7812" w:rsidRDefault="00BA7812">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7A13D8EA"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66757F9E" w14:textId="77777777" w:rsidR="00BA7812"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44ADBEEB"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58821423" w14:textId="77777777" w:rsidR="00BA7812" w:rsidRDefault="00BA7812">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114B6998"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151EAEC2"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5230757"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3BDD7DA8"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3B2A62D5"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641E662F"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7D430CFC" w14:textId="77777777" w:rsidR="00BA7812" w:rsidRDefault="00BA7812">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0561FAD" w14:textId="77777777" w:rsidR="00BA7812" w:rsidRDefault="00BA7812">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309FAB3" w14:textId="77777777" w:rsidR="00BA7812"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0E3907A" w14:textId="77777777" w:rsidR="00BA7812" w:rsidRDefault="00000000">
      <w:r>
        <w:rPr>
          <w:rFonts w:ascii="仿宋_GB2312" w:eastAsia="仿宋_GB2312" w:hAnsi="仿宋_GB2312" w:cs="仿宋_GB2312" w:hint="eastAsia"/>
          <w:sz w:val="32"/>
          <w:szCs w:val="32"/>
        </w:rPr>
        <w:fldChar w:fldCharType="end"/>
      </w:r>
    </w:p>
    <w:p w14:paraId="752A5DED" w14:textId="77777777" w:rsidR="00BA7812" w:rsidRDefault="00000000">
      <w:pPr>
        <w:rPr>
          <w:rFonts w:ascii="仿宋_GB2312" w:eastAsia="仿宋_GB2312"/>
          <w:sz w:val="32"/>
          <w:szCs w:val="32"/>
        </w:rPr>
      </w:pPr>
      <w:r>
        <w:rPr>
          <w:rFonts w:ascii="仿宋_GB2312" w:eastAsia="仿宋_GB2312" w:hint="eastAsia"/>
          <w:sz w:val="32"/>
          <w:szCs w:val="32"/>
        </w:rPr>
        <w:br w:type="page"/>
      </w:r>
    </w:p>
    <w:p w14:paraId="7562437B" w14:textId="77777777" w:rsidR="00BA7812"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55C3C596" w14:textId="77777777" w:rsidR="00BA7812"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527FE7BA" w14:textId="1B18B4DE"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1.统一组织、规划、部署自治县直属机关党的工作，提出加强和改进机关党的建设的意见和建议，研究制定工作规划，并抓好组织实施。</w:t>
      </w:r>
    </w:p>
    <w:p w14:paraId="0FE9BB6A" w14:textId="14D22F5D"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2.指导督促自治县直属机关党组（党委）认真履行机关党建主体责任。指导自治县直属机关党的政治建设、思想建设、组织建设、作风建设、纪律建设，把制度建设贯穿其中，深入推进反腐败斗争。</w:t>
      </w:r>
    </w:p>
    <w:p w14:paraId="14C79A1E" w14:textId="221A643E"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3.指导自治县直属机关各级党组织和广大党员学习马克思列宁主义、毛泽东思想、邓小平理论、“三个代表”重要思想、科学发展观、习近平新时代中国特色社会主义思想。</w:t>
      </w:r>
    </w:p>
    <w:p w14:paraId="487024C0" w14:textId="1AC2DAC4"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4.对自治县直属机关各级党组织、党员领导干部落实党建责任制、遵守政治纪律和政治规矩情况进行监督检查，并向自治县党委报告。</w:t>
      </w:r>
    </w:p>
    <w:p w14:paraId="113EA7E7" w14:textId="208EA749"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5.指导自治县直属机关各级党组织实施对党员特别是党员领导干部的监督和管理，及时向自治县党委反映各部门领导班子、领导干部的情况。</w:t>
      </w:r>
    </w:p>
    <w:p w14:paraId="2BBC0DB4" w14:textId="7081BFF3"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6.配合自治县有关部门做好自治县直属机关各部门领导班子思想政治建设，参与对党员领导干部民主生活会和党组（党委）理论学习、中心组学习的督促检查和指导，了解掌握情况，按规定报送情况报告。</w:t>
      </w:r>
    </w:p>
    <w:p w14:paraId="6866827D" w14:textId="41F83D91"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lastRenderedPageBreak/>
        <w:t>7.审批自治县直属机关各部门机关党委、党总支和党支部的建立，督促指导自治县直属机关各部门机关党委、党总支和党支部按期换届，审批关于召开党员大会或党员代表大会的请示，审批自治县直属机关各部门党组织领导班子的任免。</w:t>
      </w:r>
    </w:p>
    <w:p w14:paraId="3FA8D5EB" w14:textId="4833E9A8"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8.指导自治县直属机关各级党组织加强基层组织建设，做好党员发展、教育和管理等工作。</w:t>
      </w:r>
    </w:p>
    <w:p w14:paraId="4B237069" w14:textId="4B4C1090"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9.了解掌握自治县直属机关工作人员的思想状况，指导自治县直属机关各级党组织加强思想政治工作和精神文明建设。</w:t>
      </w:r>
    </w:p>
    <w:p w14:paraId="299C5665" w14:textId="41E61E45"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10.领导自治县直属机关工会、共青团等群团组织的工作，指导自治县直属机关各级党组织做好党的群众工作。</w:t>
      </w:r>
    </w:p>
    <w:p w14:paraId="6DAB29E5" w14:textId="2E443BEC"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11.协同有关部门指导、规划、协调、监督、检查自治县直属机关党员干部教育培训工作，培训轮训自治县直属机关党员干部、党务干部及党员发展对象。</w:t>
      </w:r>
    </w:p>
    <w:p w14:paraId="5A7321CA" w14:textId="50219535" w:rsidR="00BA7812" w:rsidRDefault="00212429">
      <w:pPr>
        <w:ind w:firstLineChars="200" w:firstLine="640"/>
        <w:jc w:val="left"/>
        <w:rPr>
          <w:rFonts w:ascii="仿宋_GB2312" w:eastAsia="仿宋_GB2312"/>
          <w:sz w:val="32"/>
          <w:szCs w:val="32"/>
        </w:rPr>
      </w:pPr>
      <w:r>
        <w:rPr>
          <w:rFonts w:ascii="仿宋_GB2312" w:eastAsia="仿宋_GB2312" w:hint="eastAsia"/>
          <w:sz w:val="32"/>
          <w:szCs w:val="32"/>
        </w:rPr>
        <w:t>12.完成自治县党委交办的其他任务。</w:t>
      </w:r>
    </w:p>
    <w:p w14:paraId="0DE415EE" w14:textId="77777777" w:rsidR="00BA7812"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022A133F" w14:textId="77777777" w:rsidR="00BA7812"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中共木垒哈萨克自治县直属机关工作委员会2023年度，实有人数</w:t>
      </w:r>
      <w:r>
        <w:rPr>
          <w:rFonts w:ascii="仿宋_GB2312" w:eastAsia="仿宋_GB2312" w:hint="eastAsia"/>
          <w:sz w:val="32"/>
          <w:szCs w:val="32"/>
          <w:lang w:val="zh-CN"/>
        </w:rPr>
        <w:t>8</w:t>
      </w:r>
      <w:r>
        <w:rPr>
          <w:rFonts w:ascii="仿宋_GB2312" w:eastAsia="仿宋_GB2312" w:hint="eastAsia"/>
          <w:sz w:val="32"/>
          <w:szCs w:val="32"/>
        </w:rPr>
        <w:t>人，其中：在职人员</w:t>
      </w:r>
      <w:r>
        <w:rPr>
          <w:rFonts w:ascii="仿宋_GB2312" w:eastAsia="仿宋_GB2312" w:hint="eastAsia"/>
          <w:sz w:val="32"/>
          <w:szCs w:val="32"/>
          <w:lang w:val="zh-CN"/>
        </w:rPr>
        <w:t>6</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2</w:t>
      </w:r>
      <w:r>
        <w:rPr>
          <w:rFonts w:ascii="仿宋_GB2312" w:eastAsia="仿宋_GB2312" w:hint="eastAsia"/>
          <w:sz w:val="32"/>
          <w:szCs w:val="32"/>
        </w:rPr>
        <w:t>人。</w:t>
      </w:r>
    </w:p>
    <w:p w14:paraId="23310BD0" w14:textId="713FE15A" w:rsidR="00BA7812" w:rsidRDefault="00000000">
      <w:pPr>
        <w:ind w:firstLineChars="200" w:firstLine="640"/>
        <w:rPr>
          <w:rFonts w:ascii="仿宋_GB2312" w:eastAsia="仿宋_GB2312" w:hAnsi="宋体" w:cs="宋体" w:hint="eastAsia"/>
          <w:kern w:val="0"/>
          <w:sz w:val="32"/>
          <w:szCs w:val="32"/>
        </w:rPr>
        <w:sectPr w:rsidR="00BA7812">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w:t>
      </w:r>
      <w:r>
        <w:rPr>
          <w:rFonts w:ascii="仿宋_GB2312" w:eastAsia="仿宋_GB2312" w:hAnsi="黑体" w:cs="宋体" w:hint="eastAsia"/>
          <w:bCs/>
          <w:kern w:val="0"/>
          <w:sz w:val="32"/>
          <w:szCs w:val="32"/>
        </w:rPr>
        <w:t>个处室，分别是</w:t>
      </w:r>
      <w:r w:rsidR="0078238C">
        <w:rPr>
          <w:rFonts w:ascii="仿宋_GB2312" w:eastAsia="仿宋_GB2312" w:hAnsi="黑体" w:cs="宋体" w:hint="eastAsia"/>
          <w:bCs/>
          <w:kern w:val="0"/>
          <w:sz w:val="32"/>
          <w:szCs w:val="32"/>
        </w:rPr>
        <w:t>：</w:t>
      </w:r>
      <w:r>
        <w:rPr>
          <w:rFonts w:ascii="仿宋_GB2312" w:eastAsia="仿宋_GB2312" w:hAnsi="黑体" w:cs="宋体" w:hint="eastAsia"/>
          <w:bCs/>
          <w:kern w:val="0"/>
          <w:sz w:val="32"/>
          <w:szCs w:val="32"/>
        </w:rPr>
        <w:t>办公室</w:t>
      </w:r>
      <w:r>
        <w:rPr>
          <w:rFonts w:ascii="仿宋_GB2312" w:eastAsia="仿宋_GB2312" w:hAnsi="宋体" w:cs="宋体" w:hint="eastAsia"/>
          <w:kern w:val="0"/>
          <w:sz w:val="32"/>
          <w:szCs w:val="32"/>
        </w:rPr>
        <w:t>。</w:t>
      </w:r>
    </w:p>
    <w:p w14:paraId="2B9EFFAF" w14:textId="77777777" w:rsidR="00BA7812"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0DC3B43E" w14:textId="77777777" w:rsidR="00BA7812"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27E675EF"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2023年度收入总计117.94万元，其中：本年收入合计117.94万元，使用非财政拨款结余0.00万元，年初结转和结余0.00万元。</w:t>
      </w:r>
    </w:p>
    <w:p w14:paraId="4F470945"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2023年度支出总计117.94万元，其中：本年支出合计117.94万元，结余分配0.00万元，年末结转和结余0.00万元。</w:t>
      </w:r>
    </w:p>
    <w:p w14:paraId="733B85CA" w14:textId="29362EE5"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w:t>
      </w:r>
    </w:p>
    <w:p w14:paraId="4D887B89" w14:textId="77777777" w:rsidR="00BA7812" w:rsidRDefault="00000000">
      <w:pPr>
        <w:ind w:firstLineChars="200" w:firstLine="640"/>
        <w:jc w:val="left"/>
        <w:outlineLvl w:val="1"/>
        <w:rPr>
          <w:rFonts w:ascii="黑体" w:eastAsia="黑体" w:hAnsi="黑体" w:cs="宋体" w:hint="eastAsia"/>
          <w:bCs/>
          <w:kern w:val="0"/>
          <w:sz w:val="32"/>
          <w:szCs w:val="32"/>
        </w:rPr>
      </w:pPr>
      <w:bookmarkStart w:id="10" w:name="_Toc1979"/>
      <w:bookmarkStart w:id="11" w:name="_Toc12142"/>
      <w:r>
        <w:rPr>
          <w:rFonts w:ascii="黑体" w:eastAsia="黑体" w:hAnsi="黑体" w:cs="宋体" w:hint="eastAsia"/>
          <w:bCs/>
          <w:kern w:val="0"/>
          <w:sz w:val="32"/>
          <w:szCs w:val="32"/>
        </w:rPr>
        <w:t>二、收入决算情况说明</w:t>
      </w:r>
      <w:bookmarkEnd w:id="10"/>
      <w:bookmarkEnd w:id="11"/>
    </w:p>
    <w:p w14:paraId="07F8190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本年收入117.94万元，其中：财政拨款收入</w:t>
      </w:r>
      <w:r>
        <w:rPr>
          <w:rFonts w:ascii="仿宋_GB2312" w:eastAsia="仿宋_GB2312" w:hint="eastAsia"/>
          <w:sz w:val="32"/>
          <w:szCs w:val="32"/>
          <w:lang w:val="zh-CN"/>
        </w:rPr>
        <w:t>117.94</w:t>
      </w:r>
      <w:r>
        <w:rPr>
          <w:rFonts w:ascii="仿宋_GB2312" w:eastAsia="仿宋_GB2312" w:hint="eastAsia"/>
          <w:sz w:val="32"/>
          <w:szCs w:val="32"/>
        </w:rPr>
        <w:t>万元，占</w:t>
      </w:r>
      <w:r>
        <w:rPr>
          <w:rFonts w:ascii="仿宋_GB2312" w:eastAsia="仿宋_GB2312" w:hint="eastAsia"/>
          <w:sz w:val="32"/>
          <w:szCs w:val="32"/>
          <w:lang w:val="zh-CN"/>
        </w:rPr>
        <w:t>100.00</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w:t>
      </w:r>
    </w:p>
    <w:p w14:paraId="53E3F3DC" w14:textId="77777777" w:rsidR="00BA7812"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6B0F171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本年支出117.94万元，其中：基本支出117.94万元，占100.00%；项目支出0.00万元，占0.00%；上缴上级支出0.00万元，占0.00%；经营支出0.00万元，占0.00%；对附属单位补助支出0.00万元，占0.00%。</w:t>
      </w:r>
    </w:p>
    <w:p w14:paraId="3CF6855B" w14:textId="77777777" w:rsidR="00BA7812"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lastRenderedPageBreak/>
        <w:t>四、财政拨款收入支出决算总体情况说明</w:t>
      </w:r>
      <w:bookmarkEnd w:id="14"/>
      <w:bookmarkEnd w:id="15"/>
    </w:p>
    <w:p w14:paraId="5866DB6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117.94</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117.94</w:t>
      </w:r>
      <w:r>
        <w:rPr>
          <w:rFonts w:ascii="仿宋_GB2312" w:eastAsia="仿宋_GB2312" w:hint="eastAsia"/>
          <w:sz w:val="32"/>
          <w:szCs w:val="32"/>
        </w:rPr>
        <w:t>万元。财政拨款支出总计</w:t>
      </w:r>
      <w:r>
        <w:rPr>
          <w:rFonts w:ascii="仿宋_GB2312" w:eastAsia="仿宋_GB2312" w:hint="eastAsia"/>
          <w:sz w:val="32"/>
          <w:szCs w:val="32"/>
          <w:lang w:val="zh-CN"/>
        </w:rPr>
        <w:t>117.94</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117.94</w:t>
      </w:r>
      <w:r>
        <w:rPr>
          <w:rFonts w:ascii="仿宋_GB2312" w:eastAsia="仿宋_GB2312" w:hint="eastAsia"/>
          <w:sz w:val="32"/>
          <w:szCs w:val="32"/>
        </w:rPr>
        <w:t>万元。</w:t>
      </w:r>
    </w:p>
    <w:p w14:paraId="7CFB2AF2"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增加13.38万元</w:t>
      </w:r>
      <w:r>
        <w:rPr>
          <w:rFonts w:ascii="仿宋_GB2312" w:eastAsia="仿宋_GB2312" w:hint="eastAsia"/>
          <w:sz w:val="32"/>
          <w:szCs w:val="32"/>
        </w:rPr>
        <w:t>，增长12.79%,主要原因是：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万元，预决算差异率2.26%，主要原因是：本年单位追加以前年度人员绩效奖金。</w:t>
      </w:r>
    </w:p>
    <w:p w14:paraId="4AAB78C7" w14:textId="77777777" w:rsidR="00BA7812"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2F4555AB"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11F43FC4" w14:textId="092F4026" w:rsidR="00BA7812"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2023年度一般公共预算财政拨款支出117.94万元，占本年支出合计的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增加13.38万元</w:t>
      </w:r>
      <w:r>
        <w:rPr>
          <w:rFonts w:ascii="仿宋_GB2312" w:eastAsia="仿宋_GB2312" w:hint="eastAsia"/>
          <w:sz w:val="32"/>
          <w:szCs w:val="32"/>
        </w:rPr>
        <w:t>，增长12.</w:t>
      </w:r>
      <w:r w:rsidR="0007722A">
        <w:rPr>
          <w:rFonts w:ascii="仿宋_GB2312" w:eastAsia="仿宋_GB2312" w:hint="eastAsia"/>
          <w:sz w:val="32"/>
          <w:szCs w:val="32"/>
        </w:rPr>
        <w:t>80</w:t>
      </w:r>
      <w:r>
        <w:rPr>
          <w:rFonts w:ascii="仿宋_GB2312" w:eastAsia="仿宋_GB2312" w:hint="eastAsia"/>
          <w:sz w:val="32"/>
          <w:szCs w:val="32"/>
        </w:rPr>
        <w:t>%,主要原因是：</w:t>
      </w:r>
      <w:r>
        <w:rPr>
          <w:rFonts w:ascii="仿宋_GB2312" w:eastAsia="仿宋_GB2312" w:hint="eastAsia"/>
          <w:sz w:val="32"/>
          <w:szCs w:val="32"/>
          <w:lang w:val="zh-CN"/>
        </w:rPr>
        <w:t>单位社保基数调增，人员养老保险缴费增加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115.33</w:t>
      </w:r>
      <w:r>
        <w:rPr>
          <w:rFonts w:ascii="仿宋_GB2312" w:eastAsia="仿宋_GB2312" w:hint="eastAsia"/>
          <w:sz w:val="32"/>
          <w:szCs w:val="32"/>
        </w:rPr>
        <w:t>万元，决算数</w:t>
      </w:r>
      <w:r>
        <w:rPr>
          <w:rFonts w:ascii="仿宋_GB2312" w:eastAsia="仿宋_GB2312" w:hint="eastAsia"/>
          <w:sz w:val="32"/>
          <w:szCs w:val="32"/>
          <w:lang w:val="zh-CN"/>
        </w:rPr>
        <w:t>117.94</w:t>
      </w:r>
      <w:r>
        <w:rPr>
          <w:rFonts w:ascii="仿宋_GB2312" w:eastAsia="仿宋_GB2312" w:hint="eastAsia"/>
          <w:sz w:val="32"/>
          <w:szCs w:val="32"/>
        </w:rPr>
        <w:t>万元，预决算差异率</w:t>
      </w:r>
      <w:r>
        <w:rPr>
          <w:rFonts w:ascii="仿宋_GB2312" w:eastAsia="仿宋_GB2312" w:hint="eastAsia"/>
          <w:sz w:val="32"/>
          <w:szCs w:val="32"/>
          <w:lang w:val="zh-CN"/>
        </w:rPr>
        <w:t>2.26%</w:t>
      </w:r>
      <w:r>
        <w:rPr>
          <w:rFonts w:ascii="仿宋_GB2312" w:eastAsia="仿宋_GB2312" w:hint="eastAsia"/>
          <w:sz w:val="32"/>
          <w:szCs w:val="32"/>
        </w:rPr>
        <w:t>，主要原因是：本年单位追加以前年度人员绩效奖金。</w:t>
      </w:r>
    </w:p>
    <w:p w14:paraId="623EEFFC" w14:textId="77777777" w:rsidR="00BA7812"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3896FB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kern w:val="2"/>
          <w:sz w:val="32"/>
          <w:szCs w:val="32"/>
          <w:lang w:val="zh-CN"/>
        </w:rPr>
        <w:t>1.一般公共服务支出（类）</w:t>
      </w:r>
      <w:r>
        <w:rPr>
          <w:rFonts w:ascii="仿宋_GB2312" w:eastAsia="仿宋_GB2312" w:hint="eastAsia"/>
          <w:kern w:val="2"/>
          <w:sz w:val="32"/>
          <w:szCs w:val="32"/>
          <w:lang w:val="zh-CN"/>
        </w:rPr>
        <w:t>97.99</w:t>
      </w:r>
      <w:r>
        <w:rPr>
          <w:rFonts w:ascii="仿宋_GB2312" w:eastAsia="仿宋_GB2312"/>
          <w:kern w:val="2"/>
          <w:sz w:val="32"/>
          <w:szCs w:val="32"/>
          <w:lang w:val="zh-CN"/>
        </w:rPr>
        <w:t>万元，占</w:t>
      </w:r>
      <w:r>
        <w:rPr>
          <w:rFonts w:ascii="仿宋_GB2312" w:eastAsia="仿宋_GB2312" w:hint="eastAsia"/>
          <w:kern w:val="2"/>
          <w:sz w:val="32"/>
          <w:szCs w:val="32"/>
          <w:lang w:val="zh-CN"/>
        </w:rPr>
        <w:t>83.08</w:t>
      </w:r>
      <w:r>
        <w:rPr>
          <w:rFonts w:ascii="仿宋_GB2312" w:eastAsia="仿宋_GB2312"/>
          <w:kern w:val="2"/>
          <w:sz w:val="32"/>
          <w:szCs w:val="32"/>
          <w:lang w:val="zh-CN"/>
        </w:rPr>
        <w:t>%；</w:t>
      </w:r>
    </w:p>
    <w:p w14:paraId="6A8F78CC"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11.45</w:t>
      </w:r>
      <w:r>
        <w:rPr>
          <w:rFonts w:ascii="仿宋_GB2312" w:eastAsia="仿宋_GB2312"/>
          <w:kern w:val="2"/>
          <w:sz w:val="32"/>
          <w:szCs w:val="32"/>
          <w:lang w:val="zh-CN"/>
        </w:rPr>
        <w:t>万元，占</w:t>
      </w:r>
      <w:r>
        <w:rPr>
          <w:rFonts w:ascii="仿宋_GB2312" w:eastAsia="仿宋_GB2312" w:hint="eastAsia"/>
          <w:kern w:val="2"/>
          <w:sz w:val="32"/>
          <w:szCs w:val="32"/>
          <w:lang w:val="zh-CN"/>
        </w:rPr>
        <w:t>9.71</w:t>
      </w:r>
      <w:r>
        <w:rPr>
          <w:rFonts w:ascii="仿宋_GB2312" w:eastAsia="仿宋_GB2312"/>
          <w:kern w:val="2"/>
          <w:sz w:val="32"/>
          <w:szCs w:val="32"/>
          <w:lang w:val="zh-CN"/>
        </w:rPr>
        <w:t>%；</w:t>
      </w:r>
    </w:p>
    <w:p w14:paraId="1D1A2897"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w:t>
      </w:r>
      <w:r>
        <w:rPr>
          <w:rFonts w:ascii="仿宋_GB2312" w:eastAsia="仿宋_GB2312"/>
          <w:kern w:val="2"/>
          <w:sz w:val="32"/>
          <w:szCs w:val="32"/>
          <w:lang w:val="zh-CN"/>
        </w:rPr>
        <w:t>.住房保障支出（类）</w:t>
      </w:r>
      <w:r>
        <w:rPr>
          <w:rFonts w:ascii="仿宋_GB2312" w:eastAsia="仿宋_GB2312" w:hint="eastAsia"/>
          <w:kern w:val="2"/>
          <w:sz w:val="32"/>
          <w:szCs w:val="32"/>
          <w:lang w:val="zh-CN"/>
        </w:rPr>
        <w:t>8.50</w:t>
      </w:r>
      <w:r>
        <w:rPr>
          <w:rFonts w:ascii="仿宋_GB2312" w:eastAsia="仿宋_GB2312"/>
          <w:kern w:val="2"/>
          <w:sz w:val="32"/>
          <w:szCs w:val="32"/>
          <w:lang w:val="zh-CN"/>
        </w:rPr>
        <w:t>万元，占</w:t>
      </w:r>
      <w:r>
        <w:rPr>
          <w:rFonts w:ascii="仿宋_GB2312" w:eastAsia="仿宋_GB2312" w:hint="eastAsia"/>
          <w:kern w:val="2"/>
          <w:sz w:val="32"/>
          <w:szCs w:val="32"/>
          <w:lang w:val="zh-CN"/>
        </w:rPr>
        <w:t>7.21</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0F93F3B6" w14:textId="77777777" w:rsidR="00BA7812"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lastRenderedPageBreak/>
        <w:t>（三）一般公共预算财政拨款支出决算具体情况</w:t>
      </w:r>
    </w:p>
    <w:p w14:paraId="39F95234" w14:textId="2B59FF35"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1.住房保障支出（类）住房改革支出（款）住房公积金（项）:支出决算数为8.50万元，比上年决算增加0.56万元，增长7.0</w:t>
      </w:r>
      <w:r w:rsidR="008454D3">
        <w:rPr>
          <w:rFonts w:ascii="仿宋_GB2312" w:eastAsia="仿宋_GB2312" w:hint="eastAsia"/>
          <w:kern w:val="2"/>
          <w:sz w:val="32"/>
          <w:szCs w:val="32"/>
          <w:lang w:val="zh-CN"/>
        </w:rPr>
        <w:t>5</w:t>
      </w:r>
      <w:r>
        <w:rPr>
          <w:rFonts w:ascii="仿宋_GB2312" w:eastAsia="仿宋_GB2312" w:hint="eastAsia"/>
          <w:kern w:val="2"/>
          <w:sz w:val="32"/>
          <w:szCs w:val="32"/>
          <w:lang w:val="zh-CN"/>
        </w:rPr>
        <w:t>%，主要原因是：本年单位</w:t>
      </w:r>
      <w:r w:rsidR="003A2F91">
        <w:rPr>
          <w:rFonts w:ascii="仿宋_GB2312" w:eastAsia="仿宋_GB2312" w:hint="eastAsia"/>
          <w:kern w:val="2"/>
          <w:sz w:val="32"/>
          <w:szCs w:val="32"/>
          <w:lang w:val="zh-CN"/>
        </w:rPr>
        <w:t>公积金缴费基数</w:t>
      </w:r>
      <w:r>
        <w:rPr>
          <w:rFonts w:ascii="仿宋_GB2312" w:eastAsia="仿宋_GB2312" w:hint="eastAsia"/>
          <w:kern w:val="2"/>
          <w:sz w:val="32"/>
          <w:szCs w:val="32"/>
          <w:lang w:val="zh-CN"/>
        </w:rPr>
        <w:t>调增，</w:t>
      </w:r>
      <w:r w:rsidR="003A2F91">
        <w:rPr>
          <w:rFonts w:ascii="仿宋_GB2312" w:eastAsia="仿宋_GB2312" w:hint="eastAsia"/>
          <w:kern w:val="2"/>
          <w:sz w:val="32"/>
          <w:szCs w:val="32"/>
          <w:lang w:val="zh-CN"/>
        </w:rPr>
        <w:t>相应</w:t>
      </w:r>
      <w:r>
        <w:rPr>
          <w:rFonts w:ascii="仿宋_GB2312" w:eastAsia="仿宋_GB2312" w:hint="eastAsia"/>
          <w:kern w:val="2"/>
          <w:sz w:val="32"/>
          <w:szCs w:val="32"/>
          <w:lang w:val="zh-CN"/>
        </w:rPr>
        <w:t>公积金缴费增加。</w:t>
      </w:r>
    </w:p>
    <w:p w14:paraId="2CD35A80"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2.一般公共服务支出（类）党委办公厅（室）及相关机构事务（款）行政运行（项）:支出决算数为94.99万元，比上年决算增加8.63万元，增长9.99%，主要原因是：本年单位补缴以前年度人员绩效奖金。</w:t>
      </w:r>
    </w:p>
    <w:p w14:paraId="4343B086" w14:textId="77777777"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3.一般公共服务支出（类）组织事务（款）其他组织事务支出（项）:支出决算数为3.00万元，比上年决算增加3.00万元，增长100%，主要原因是：上年度该经费在主款核算，未单独设立款项，本年度根据预算细化要求明细列支。</w:t>
      </w:r>
    </w:p>
    <w:p w14:paraId="16D7DE39" w14:textId="4EB6A2B5"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4.社会保障和就业支出（类）行政事业单位养老支出（款）行政单位离退休（项）:支出决算数为0.69万元，比上年决算增加0.44万元，增长17</w:t>
      </w:r>
      <w:r w:rsidR="008454D3">
        <w:rPr>
          <w:rFonts w:ascii="仿宋_GB2312" w:eastAsia="仿宋_GB2312" w:hint="eastAsia"/>
          <w:kern w:val="2"/>
          <w:sz w:val="32"/>
          <w:szCs w:val="32"/>
          <w:lang w:val="zh-CN"/>
        </w:rPr>
        <w:t>6.00</w:t>
      </w:r>
      <w:r>
        <w:rPr>
          <w:rFonts w:ascii="仿宋_GB2312" w:eastAsia="仿宋_GB2312" w:hint="eastAsia"/>
          <w:kern w:val="2"/>
          <w:sz w:val="32"/>
          <w:szCs w:val="32"/>
          <w:lang w:val="zh-CN"/>
        </w:rPr>
        <w:t>%，主要原因是：单位本年公务员</w:t>
      </w:r>
      <w:proofErr w:type="gramStart"/>
      <w:r>
        <w:rPr>
          <w:rFonts w:ascii="仿宋_GB2312" w:eastAsia="仿宋_GB2312" w:hint="eastAsia"/>
          <w:kern w:val="2"/>
          <w:sz w:val="32"/>
          <w:szCs w:val="32"/>
          <w:lang w:val="zh-CN"/>
        </w:rPr>
        <w:t>绩效奖资金</w:t>
      </w:r>
      <w:proofErr w:type="gramEnd"/>
      <w:r>
        <w:rPr>
          <w:rFonts w:ascii="仿宋_GB2312" w:eastAsia="仿宋_GB2312" w:hint="eastAsia"/>
          <w:kern w:val="2"/>
          <w:sz w:val="32"/>
          <w:szCs w:val="32"/>
          <w:lang w:val="zh-CN"/>
        </w:rPr>
        <w:t>增加。</w:t>
      </w:r>
    </w:p>
    <w:p w14:paraId="7274E681" w14:textId="67AFAA9F" w:rsidR="00BA7812"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5.社会保障和就业支出（类）行政事业单位养老支出（款）机关事业单位基本养老保险缴费支出（项）:支出决算数为10.76万元，比上年决算增加0.75万元，增长7.4</w:t>
      </w:r>
      <w:r w:rsidR="008454D3">
        <w:rPr>
          <w:rFonts w:ascii="仿宋_GB2312" w:eastAsia="仿宋_GB2312" w:hint="eastAsia"/>
          <w:kern w:val="2"/>
          <w:sz w:val="32"/>
          <w:szCs w:val="32"/>
          <w:lang w:val="zh-CN"/>
        </w:rPr>
        <w:t>9</w:t>
      </w:r>
      <w:r>
        <w:rPr>
          <w:rFonts w:ascii="仿宋_GB2312" w:eastAsia="仿宋_GB2312" w:hint="eastAsia"/>
          <w:kern w:val="2"/>
          <w:sz w:val="32"/>
          <w:szCs w:val="32"/>
          <w:lang w:val="zh-CN"/>
        </w:rPr>
        <w:t>%，主要原因是：单位社保基数调增，人员养老保险缴费增加。</w:t>
      </w:r>
    </w:p>
    <w:p w14:paraId="09BBCCBE"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AA3B77"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一般公共预算财政拨款基本支出117.94万元，其中：人员经费111.93万元，包括：基本工资、津贴补贴、奖金、机关事业单位基本养老保险缴费、职工基本医疗保险缴费、公务员医疗补助缴费、其他社会保障缴费、住房公积金、退休费、奖励金、其他对个人和家庭的补助。</w:t>
      </w:r>
    </w:p>
    <w:p w14:paraId="11B7FEAD" w14:textId="77777777" w:rsidR="00BA7812"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公用经费6.00万元，包括：办公费、水费、电费、邮电费、取暖费、维修（护）费、工会经费、公务用车运行维护费。</w:t>
      </w:r>
    </w:p>
    <w:p w14:paraId="5AB20066"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79C622D1" w14:textId="779B0F6B"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“三公”经费支出0.27万元，</w:t>
      </w:r>
      <w:r>
        <w:rPr>
          <w:rFonts w:ascii="仿宋_GB2312" w:eastAsia="仿宋_GB2312" w:hint="eastAsia"/>
          <w:sz w:val="32"/>
          <w:szCs w:val="32"/>
        </w:rPr>
        <w:t>比上年</w:t>
      </w:r>
      <w:r>
        <w:rPr>
          <w:rFonts w:ascii="仿宋_GB2312" w:eastAsia="仿宋_GB2312" w:hint="eastAsia"/>
          <w:sz w:val="32"/>
          <w:szCs w:val="32"/>
          <w:lang w:val="zh-CN"/>
        </w:rPr>
        <w:t>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sidR="008454D3">
        <w:rPr>
          <w:rFonts w:ascii="仿宋_GB2312" w:eastAsia="仿宋_GB2312" w:hint="eastAsia"/>
          <w:sz w:val="32"/>
          <w:szCs w:val="32"/>
          <w:lang w:val="zh-CN"/>
        </w:rPr>
        <w:t>与上年对比无差异</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主要原因是：单位本年无此项经费；公务用车购置及运行维护费支出0.27万元，占100.00%，比上年减少0.00万元，</w:t>
      </w:r>
      <w:r>
        <w:rPr>
          <w:rFonts w:ascii="仿宋_GB2312" w:eastAsia="仿宋_GB2312" w:hint="eastAsia"/>
          <w:sz w:val="32"/>
          <w:szCs w:val="32"/>
        </w:rPr>
        <w:t>下降</w:t>
      </w:r>
      <w:r w:rsidR="0007722A">
        <w:rPr>
          <w:rFonts w:ascii="仿宋_GB2312" w:eastAsia="仿宋_GB2312" w:hint="eastAsia"/>
          <w:sz w:val="32"/>
          <w:szCs w:val="32"/>
        </w:rPr>
        <w:t>0.00</w:t>
      </w:r>
      <w:r>
        <w:rPr>
          <w:rFonts w:ascii="仿宋_GB2312" w:eastAsia="仿宋_GB2312" w:hint="eastAsia"/>
          <w:sz w:val="32"/>
          <w:szCs w:val="32"/>
        </w:rPr>
        <w:t>%,</w:t>
      </w:r>
      <w:r>
        <w:rPr>
          <w:rFonts w:ascii="仿宋_GB2312" w:eastAsia="仿宋_GB2312" w:hint="eastAsia"/>
          <w:sz w:val="32"/>
          <w:szCs w:val="32"/>
          <w:lang w:val="zh-CN"/>
        </w:rPr>
        <w:t>主要原因是：</w:t>
      </w:r>
      <w:r w:rsidR="008454D3">
        <w:rPr>
          <w:rFonts w:ascii="仿宋_GB2312" w:eastAsia="仿宋_GB2312" w:hint="eastAsia"/>
          <w:sz w:val="32"/>
          <w:szCs w:val="32"/>
          <w:lang w:val="zh-CN"/>
        </w:rPr>
        <w:t>与上年对比无差异</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主要原因是：单位本年无此项经费。</w:t>
      </w:r>
    </w:p>
    <w:p w14:paraId="41329CFE"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4DBD99D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因公出国（境）费支出0.00万元，开支内容包括单位本年无此项经费。单位全年安排的因公出国（境）团组0个，因公出国（境）0人次。</w:t>
      </w:r>
    </w:p>
    <w:p w14:paraId="7DC461BD" w14:textId="7455BE32"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lastRenderedPageBreak/>
        <w:t>公务用车购置及运行维护费0.27万元，其中：公务用车购置费0.00万元，公务用车运行维护费0.27万元。公务用车运行维护费开支内容包括公务用车燃油费、车辆维修维护费、保险费、过路费等。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212429" w:rsidRPr="00212429">
        <w:rPr>
          <w:rFonts w:ascii="仿宋_GB2312" w:eastAsia="仿宋_GB2312" w:hint="eastAsia"/>
          <w:sz w:val="32"/>
          <w:szCs w:val="32"/>
          <w:lang w:val="zh-CN"/>
        </w:rPr>
        <w:t>本单位固定资产车辆与公务用车保有量一致无差异</w:t>
      </w:r>
      <w:r>
        <w:rPr>
          <w:rFonts w:ascii="仿宋_GB2312" w:eastAsia="仿宋_GB2312" w:hint="eastAsia"/>
          <w:sz w:val="32"/>
          <w:szCs w:val="32"/>
          <w:lang w:val="zh-CN"/>
        </w:rPr>
        <w:t>。</w:t>
      </w:r>
    </w:p>
    <w:p w14:paraId="71E6812C"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公务接待费0.00万元，开支内容包括单位本年无此项经费。单位全年安排的国内公务接待0批次，0人次。</w:t>
      </w:r>
    </w:p>
    <w:p w14:paraId="32F67C62" w14:textId="77777777" w:rsidR="00BA7812"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0.00万元，决算数0.00万元，预决算差异率0.00%，主要原因是：单位本年无此项经费；公务用车购置费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预算数0.27万元，决算数0.27万元，预决算差异率0.00%，主要原因是：严格按照预算执行，预决算对比无差异；公务接待费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预算数0.00万元，决算数0.00万元，预决算差异率0.00%，主要原因是：单位本年无此项经费。</w:t>
      </w:r>
    </w:p>
    <w:p w14:paraId="350E77C5" w14:textId="77777777" w:rsidR="00BA7812"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71594F1"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我单位本年度无政府性基金预算财政拨款收入、支出及结转和结余，政府性基金预算财政拨款收入支出决算表为空表。</w:t>
      </w:r>
    </w:p>
    <w:p w14:paraId="61FF82E4" w14:textId="77777777" w:rsidR="00BA7812"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224D5E84"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0D2FA0D5" w14:textId="77777777" w:rsidR="00BA7812"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7739CBAA" w14:textId="77777777" w:rsidR="00BA7812"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7F47331D" w14:textId="35032895" w:rsidR="00BA7812" w:rsidRDefault="00000000">
      <w:pPr>
        <w:ind w:firstLineChars="200" w:firstLine="640"/>
        <w:jc w:val="left"/>
        <w:rPr>
          <w:rFonts w:ascii="仿宋_GB2312" w:eastAsia="仿宋_GB2312"/>
          <w:sz w:val="32"/>
          <w:szCs w:val="32"/>
        </w:rPr>
      </w:pPr>
      <w:bookmarkStart w:id="24" w:name="_Toc26704"/>
      <w:bookmarkStart w:id="25" w:name="_Toc227"/>
      <w:r>
        <w:rPr>
          <w:rFonts w:ascii="仿宋_GB2312" w:eastAsia="仿宋_GB2312" w:hint="eastAsia"/>
          <w:sz w:val="32"/>
          <w:szCs w:val="32"/>
        </w:rPr>
        <w:t>2023年度中共木垒哈萨克自治县直属机关工作委员会（行政单位和参照公务员法管理事业单位）机关运行经费支出6.00万元，比上年增加4.4</w:t>
      </w:r>
      <w:r w:rsidR="0007722A">
        <w:rPr>
          <w:rFonts w:ascii="仿宋_GB2312" w:eastAsia="仿宋_GB2312" w:hint="eastAsia"/>
          <w:sz w:val="32"/>
          <w:szCs w:val="32"/>
        </w:rPr>
        <w:t>8</w:t>
      </w:r>
      <w:r>
        <w:rPr>
          <w:rFonts w:ascii="仿宋_GB2312" w:eastAsia="仿宋_GB2312" w:hint="eastAsia"/>
          <w:sz w:val="32"/>
          <w:szCs w:val="32"/>
        </w:rPr>
        <w:t>万元，增长</w:t>
      </w:r>
      <w:r w:rsidR="0007722A">
        <w:rPr>
          <w:rFonts w:ascii="仿宋_GB2312" w:eastAsia="仿宋_GB2312" w:hint="eastAsia"/>
          <w:sz w:val="32"/>
          <w:szCs w:val="32"/>
        </w:rPr>
        <w:t>294.74</w:t>
      </w:r>
      <w:r>
        <w:rPr>
          <w:rFonts w:ascii="仿宋_GB2312" w:eastAsia="仿宋_GB2312" w:hint="eastAsia"/>
          <w:sz w:val="32"/>
          <w:szCs w:val="32"/>
        </w:rPr>
        <w:t>%，主要原因是：本年单位办公费、水费、电费增加。</w:t>
      </w:r>
    </w:p>
    <w:p w14:paraId="6980D133" w14:textId="77777777" w:rsidR="00BA7812"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0DE68080"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2023年度政府采购支出总额0.00万元，其中：政府采购货物支出0.00万元、政府采购工程支出0.00万元、政府采购服务支出0.00万元。</w:t>
      </w:r>
    </w:p>
    <w:p w14:paraId="5EDC6259"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授予中小企业合同金额0.00万元，占政府采购支出总额的0.00</w:t>
      </w:r>
      <w:r>
        <w:rPr>
          <w:rFonts w:ascii="仿宋_GB2312" w:eastAsia="仿宋_GB2312"/>
          <w:sz w:val="32"/>
          <w:szCs w:val="32"/>
        </w:rPr>
        <w:t>%</w:t>
      </w:r>
      <w:r>
        <w:rPr>
          <w:rFonts w:ascii="仿宋_GB2312" w:eastAsia="仿宋_GB2312" w:hint="eastAsia"/>
          <w:sz w:val="32"/>
          <w:szCs w:val="32"/>
        </w:rPr>
        <w:t>，其中：授予小</w:t>
      </w:r>
      <w:proofErr w:type="gramStart"/>
      <w:r>
        <w:rPr>
          <w:rFonts w:ascii="仿宋_GB2312" w:eastAsia="仿宋_GB2312" w:hint="eastAsia"/>
          <w:sz w:val="32"/>
          <w:szCs w:val="32"/>
        </w:rPr>
        <w:t>微企业</w:t>
      </w:r>
      <w:proofErr w:type="gramEnd"/>
      <w:r>
        <w:rPr>
          <w:rFonts w:ascii="仿宋_GB2312" w:eastAsia="仿宋_GB2312" w:hint="eastAsia"/>
          <w:sz w:val="32"/>
          <w:szCs w:val="32"/>
        </w:rPr>
        <w:t>合同金额0.00万元，占政府采购支出总额的0.00</w:t>
      </w:r>
      <w:r>
        <w:rPr>
          <w:rFonts w:ascii="仿宋_GB2312" w:eastAsia="仿宋_GB2312"/>
          <w:sz w:val="32"/>
          <w:szCs w:val="32"/>
        </w:rPr>
        <w:t>%</w:t>
      </w:r>
      <w:r>
        <w:rPr>
          <w:rFonts w:ascii="仿宋_GB2312" w:eastAsia="仿宋_GB2312" w:hint="eastAsia"/>
          <w:sz w:val="32"/>
          <w:szCs w:val="32"/>
        </w:rPr>
        <w:t>。</w:t>
      </w:r>
    </w:p>
    <w:p w14:paraId="47B5E4D8" w14:textId="77777777" w:rsidR="00BA7812"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8191D9E" w14:textId="412C7080"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截至2023年12月31日，固定资产原值36.70万元，</w:t>
      </w:r>
      <w:r>
        <w:rPr>
          <w:rFonts w:ascii="仿宋_GB2312" w:eastAsia="仿宋_GB2312" w:hint="eastAsia"/>
          <w:sz w:val="32"/>
          <w:szCs w:val="32"/>
        </w:rPr>
        <w:lastRenderedPageBreak/>
        <w:t>房屋45.0</w:t>
      </w:r>
      <w:r w:rsidR="003A2F91">
        <w:rPr>
          <w:rFonts w:ascii="仿宋_GB2312" w:eastAsia="仿宋_GB2312" w:hint="eastAsia"/>
          <w:sz w:val="32"/>
          <w:szCs w:val="32"/>
        </w:rPr>
        <w:t>0</w:t>
      </w:r>
      <w:r>
        <w:rPr>
          <w:rFonts w:ascii="仿宋_GB2312" w:eastAsia="仿宋_GB2312" w:hint="eastAsia"/>
          <w:sz w:val="32"/>
          <w:szCs w:val="32"/>
        </w:rPr>
        <w:t>平方米，价值10.00万元。车辆1辆，价值13.80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14:paraId="6692067F" w14:textId="77777777" w:rsidR="00BA7812"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0B1016A6" w14:textId="77777777" w:rsidR="00BA7812"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117.94</w:t>
      </w:r>
      <w:r>
        <w:rPr>
          <w:rFonts w:ascii="仿宋_GB2312" w:eastAsia="仿宋_GB2312" w:hint="eastAsia"/>
          <w:sz w:val="32"/>
          <w:szCs w:val="32"/>
        </w:rPr>
        <w:t>万元，实际执行总额</w:t>
      </w:r>
      <w:r>
        <w:rPr>
          <w:rFonts w:ascii="仿宋_GB2312" w:eastAsia="仿宋_GB2312"/>
          <w:sz w:val="32"/>
          <w:szCs w:val="32"/>
        </w:rPr>
        <w:t>117.94</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0个，全年预算数0.00万元，全年执行数0.00万元。预算绩效管理取得的成效：一是做好群众服务工作，保障社会大局稳定，提高群众安全感；二是促进统筹规划和综合协调，提升人居环境质量,提升群众人居环境。发现的问题及原因：一是部门职能不明确，个别工作分工不清晰，</w:t>
      </w:r>
      <w:proofErr w:type="gramStart"/>
      <w:r>
        <w:rPr>
          <w:rFonts w:ascii="仿宋_GB2312" w:eastAsia="仿宋_GB2312" w:hint="eastAsia"/>
          <w:sz w:val="32"/>
          <w:szCs w:val="32"/>
        </w:rPr>
        <w:t>且人员</w:t>
      </w:r>
      <w:proofErr w:type="gramEnd"/>
      <w:r>
        <w:rPr>
          <w:rFonts w:ascii="仿宋_GB2312" w:eastAsia="仿宋_GB2312" w:hint="eastAsia"/>
          <w:sz w:val="32"/>
          <w:szCs w:val="32"/>
        </w:rPr>
        <w:t>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w:t>
      </w:r>
      <w:r>
        <w:rPr>
          <w:rFonts w:ascii="仿宋_GB2312" w:eastAsia="仿宋_GB2312" w:hint="eastAsia"/>
          <w:sz w:val="32"/>
          <w:szCs w:val="32"/>
        </w:rPr>
        <w:lastRenderedPageBreak/>
        <w:t>部门整体支出绩效评价中的问题总结。具体项目自评情况附绩效自评表及自评报告。</w:t>
      </w:r>
    </w:p>
    <w:tbl>
      <w:tblPr>
        <w:tblW w:w="5000" w:type="pct"/>
        <w:jc w:val="center"/>
        <w:tblLayout w:type="fixed"/>
        <w:tblLook w:val="04A0" w:firstRow="1" w:lastRow="0" w:firstColumn="1" w:lastColumn="0" w:noHBand="0" w:noVBand="1"/>
      </w:tblPr>
      <w:tblGrid>
        <w:gridCol w:w="960"/>
        <w:gridCol w:w="1273"/>
        <w:gridCol w:w="1284"/>
        <w:gridCol w:w="1104"/>
        <w:gridCol w:w="1224"/>
        <w:gridCol w:w="948"/>
        <w:gridCol w:w="996"/>
        <w:gridCol w:w="733"/>
      </w:tblGrid>
      <w:tr w:rsidR="00BA7812" w14:paraId="053D7A70" w14:textId="77777777">
        <w:trPr>
          <w:trHeight w:val="522"/>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03418FF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部门（单位）整体支出绩效目标自评表</w:t>
            </w:r>
          </w:p>
        </w:tc>
      </w:tr>
      <w:tr w:rsidR="00BA7812" w14:paraId="5909E6A2" w14:textId="77777777">
        <w:trPr>
          <w:trHeight w:val="360"/>
          <w:jc w:val="center"/>
        </w:trPr>
        <w:tc>
          <w:tcPr>
            <w:tcW w:w="8522" w:type="dxa"/>
            <w:gridSpan w:val="8"/>
            <w:tcBorders>
              <w:top w:val="single" w:sz="4" w:space="0" w:color="auto"/>
              <w:left w:val="single" w:sz="4" w:space="0" w:color="auto"/>
              <w:bottom w:val="single" w:sz="4" w:space="0" w:color="auto"/>
              <w:right w:val="single" w:sz="4" w:space="0" w:color="auto"/>
            </w:tcBorders>
            <w:shd w:val="clear" w:color="auto" w:fill="auto"/>
            <w:noWrap/>
            <w:vAlign w:val="center"/>
          </w:tcPr>
          <w:p w14:paraId="228EBD8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（2023年度）</w:t>
            </w:r>
          </w:p>
        </w:tc>
      </w:tr>
      <w:tr w:rsidR="00BA7812" w14:paraId="0887A278" w14:textId="77777777">
        <w:trPr>
          <w:trHeight w:val="66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1B67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部门（单位）名称</w:t>
            </w:r>
          </w:p>
        </w:tc>
        <w:tc>
          <w:tcPr>
            <w:tcW w:w="7562" w:type="dxa"/>
            <w:gridSpan w:val="7"/>
            <w:tcBorders>
              <w:top w:val="single" w:sz="4" w:space="0" w:color="auto"/>
              <w:left w:val="nil"/>
              <w:bottom w:val="single" w:sz="4" w:space="0" w:color="auto"/>
              <w:right w:val="single" w:sz="4" w:space="0" w:color="auto"/>
            </w:tcBorders>
            <w:shd w:val="clear" w:color="auto" w:fill="auto"/>
            <w:noWrap/>
            <w:vAlign w:val="center"/>
          </w:tcPr>
          <w:p w14:paraId="4D2110A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木垒县机关工委本级</w:t>
            </w:r>
          </w:p>
        </w:tc>
      </w:tr>
      <w:tr w:rsidR="00BA7812" w14:paraId="1F05EA25" w14:textId="77777777">
        <w:trPr>
          <w:trHeight w:val="57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08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部门资金（万元）</w:t>
            </w:r>
          </w:p>
        </w:tc>
        <w:tc>
          <w:tcPr>
            <w:tcW w:w="1273" w:type="dxa"/>
            <w:tcBorders>
              <w:top w:val="nil"/>
              <w:left w:val="nil"/>
              <w:bottom w:val="single" w:sz="4" w:space="0" w:color="auto"/>
              <w:right w:val="single" w:sz="4" w:space="0" w:color="auto"/>
            </w:tcBorders>
            <w:shd w:val="clear" w:color="auto" w:fill="auto"/>
            <w:vAlign w:val="center"/>
          </w:tcPr>
          <w:p w14:paraId="372A5EF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资金来源</w:t>
            </w:r>
          </w:p>
        </w:tc>
        <w:tc>
          <w:tcPr>
            <w:tcW w:w="1284" w:type="dxa"/>
            <w:tcBorders>
              <w:top w:val="nil"/>
              <w:left w:val="nil"/>
              <w:bottom w:val="single" w:sz="4" w:space="0" w:color="auto"/>
              <w:right w:val="single" w:sz="4" w:space="0" w:color="auto"/>
            </w:tcBorders>
            <w:shd w:val="clear" w:color="auto" w:fill="auto"/>
            <w:vAlign w:val="center"/>
          </w:tcPr>
          <w:p w14:paraId="6F8B235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年初预算数</w:t>
            </w:r>
          </w:p>
        </w:tc>
        <w:tc>
          <w:tcPr>
            <w:tcW w:w="1104" w:type="dxa"/>
            <w:tcBorders>
              <w:top w:val="nil"/>
              <w:left w:val="nil"/>
              <w:bottom w:val="single" w:sz="4" w:space="0" w:color="auto"/>
              <w:right w:val="single" w:sz="4" w:space="0" w:color="auto"/>
            </w:tcBorders>
            <w:shd w:val="clear" w:color="auto" w:fill="auto"/>
            <w:vAlign w:val="center"/>
          </w:tcPr>
          <w:p w14:paraId="47D8B8F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全年预算数</w:t>
            </w:r>
          </w:p>
        </w:tc>
        <w:tc>
          <w:tcPr>
            <w:tcW w:w="1224" w:type="dxa"/>
            <w:tcBorders>
              <w:top w:val="nil"/>
              <w:left w:val="nil"/>
              <w:bottom w:val="single" w:sz="4" w:space="0" w:color="auto"/>
              <w:right w:val="single" w:sz="4" w:space="0" w:color="auto"/>
            </w:tcBorders>
            <w:shd w:val="clear" w:color="auto" w:fill="auto"/>
            <w:vAlign w:val="center"/>
          </w:tcPr>
          <w:p w14:paraId="603CEA9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全年执行数</w:t>
            </w:r>
          </w:p>
        </w:tc>
        <w:tc>
          <w:tcPr>
            <w:tcW w:w="948" w:type="dxa"/>
            <w:tcBorders>
              <w:top w:val="nil"/>
              <w:left w:val="nil"/>
              <w:bottom w:val="single" w:sz="4" w:space="0" w:color="auto"/>
              <w:right w:val="single" w:sz="4" w:space="0" w:color="auto"/>
            </w:tcBorders>
            <w:shd w:val="clear" w:color="auto" w:fill="auto"/>
            <w:vAlign w:val="center"/>
          </w:tcPr>
          <w:p w14:paraId="1C01982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0436C11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执行率</w:t>
            </w:r>
          </w:p>
        </w:tc>
        <w:tc>
          <w:tcPr>
            <w:tcW w:w="733" w:type="dxa"/>
            <w:tcBorders>
              <w:top w:val="nil"/>
              <w:left w:val="nil"/>
              <w:bottom w:val="single" w:sz="4" w:space="0" w:color="auto"/>
              <w:right w:val="single" w:sz="4" w:space="0" w:color="auto"/>
            </w:tcBorders>
            <w:shd w:val="clear" w:color="auto" w:fill="auto"/>
            <w:vAlign w:val="center"/>
          </w:tcPr>
          <w:p w14:paraId="439AA70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30FCBC6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F44E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noWrap/>
            <w:vAlign w:val="center"/>
          </w:tcPr>
          <w:p w14:paraId="7784D0D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中央安排</w:t>
            </w:r>
          </w:p>
        </w:tc>
        <w:tc>
          <w:tcPr>
            <w:tcW w:w="1284" w:type="dxa"/>
            <w:tcBorders>
              <w:top w:val="nil"/>
              <w:left w:val="nil"/>
              <w:bottom w:val="single" w:sz="4" w:space="0" w:color="auto"/>
              <w:right w:val="single" w:sz="4" w:space="0" w:color="auto"/>
            </w:tcBorders>
            <w:shd w:val="clear" w:color="auto" w:fill="auto"/>
            <w:vAlign w:val="center"/>
          </w:tcPr>
          <w:p w14:paraId="3D4D5DF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5C19AE1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60392D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0C9582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vAlign w:val="center"/>
          </w:tcPr>
          <w:p w14:paraId="5EABAC1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102.25%</w:t>
            </w:r>
          </w:p>
        </w:tc>
        <w:tc>
          <w:tcPr>
            <w:tcW w:w="733" w:type="dxa"/>
            <w:tcBorders>
              <w:top w:val="nil"/>
              <w:left w:val="nil"/>
              <w:bottom w:val="single" w:sz="4" w:space="0" w:color="auto"/>
              <w:right w:val="single" w:sz="4" w:space="0" w:color="auto"/>
            </w:tcBorders>
            <w:shd w:val="clear" w:color="auto" w:fill="auto"/>
            <w:vAlign w:val="center"/>
          </w:tcPr>
          <w:p w14:paraId="7AF5564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10</w:t>
            </w:r>
          </w:p>
        </w:tc>
      </w:tr>
      <w:tr w:rsidR="00BA7812" w14:paraId="1A2CAFEB"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AD4EC79"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80C01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自治区安排</w:t>
            </w:r>
          </w:p>
        </w:tc>
        <w:tc>
          <w:tcPr>
            <w:tcW w:w="1284" w:type="dxa"/>
            <w:tcBorders>
              <w:top w:val="nil"/>
              <w:left w:val="nil"/>
              <w:bottom w:val="single" w:sz="4" w:space="0" w:color="auto"/>
              <w:right w:val="single" w:sz="4" w:space="0" w:color="auto"/>
            </w:tcBorders>
            <w:shd w:val="clear" w:color="auto" w:fill="auto"/>
            <w:vAlign w:val="center"/>
          </w:tcPr>
          <w:p w14:paraId="3756F09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D5821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590FCCD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4E33729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26C09E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468292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77A274A1"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F657920"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2E4A7A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地（州、市）安排</w:t>
            </w:r>
          </w:p>
        </w:tc>
        <w:tc>
          <w:tcPr>
            <w:tcW w:w="1284" w:type="dxa"/>
            <w:tcBorders>
              <w:top w:val="nil"/>
              <w:left w:val="nil"/>
              <w:bottom w:val="single" w:sz="4" w:space="0" w:color="auto"/>
              <w:right w:val="single" w:sz="4" w:space="0" w:color="auto"/>
            </w:tcBorders>
            <w:shd w:val="clear" w:color="auto" w:fill="auto"/>
            <w:vAlign w:val="center"/>
          </w:tcPr>
          <w:p w14:paraId="0900822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738D7C1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15DD5B9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68105BC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69E58B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3BDE90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38F18BC6"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614DAF"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65EDFC87"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县（市、区）安排</w:t>
            </w:r>
          </w:p>
        </w:tc>
        <w:tc>
          <w:tcPr>
            <w:tcW w:w="1284" w:type="dxa"/>
            <w:tcBorders>
              <w:top w:val="nil"/>
              <w:left w:val="nil"/>
              <w:bottom w:val="single" w:sz="4" w:space="0" w:color="auto"/>
              <w:right w:val="single" w:sz="4" w:space="0" w:color="auto"/>
            </w:tcBorders>
            <w:shd w:val="clear" w:color="auto" w:fill="auto"/>
            <w:vAlign w:val="center"/>
          </w:tcPr>
          <w:p w14:paraId="75FDAB9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1FACDD48"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1224" w:type="dxa"/>
            <w:tcBorders>
              <w:top w:val="nil"/>
              <w:left w:val="nil"/>
              <w:bottom w:val="single" w:sz="4" w:space="0" w:color="auto"/>
              <w:right w:val="single" w:sz="4" w:space="0" w:color="auto"/>
            </w:tcBorders>
            <w:shd w:val="clear" w:color="auto" w:fill="auto"/>
            <w:vAlign w:val="center"/>
          </w:tcPr>
          <w:p w14:paraId="45B1DEC2"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3BB9CE1" w14:textId="07A28626"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5F7E4CDC" w14:textId="244D0BCD"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0B578E0F" w14:textId="066B0BDE"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07722A" w14:paraId="7F30AC5A"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58BF8DB" w14:textId="77777777" w:rsidR="0007722A" w:rsidRDefault="0007722A" w:rsidP="0007722A">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5D6BFCE"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其他资金</w:t>
            </w:r>
          </w:p>
        </w:tc>
        <w:tc>
          <w:tcPr>
            <w:tcW w:w="1284" w:type="dxa"/>
            <w:tcBorders>
              <w:top w:val="nil"/>
              <w:left w:val="nil"/>
              <w:bottom w:val="single" w:sz="4" w:space="0" w:color="auto"/>
              <w:right w:val="single" w:sz="4" w:space="0" w:color="auto"/>
            </w:tcBorders>
            <w:shd w:val="clear" w:color="auto" w:fill="auto"/>
            <w:vAlign w:val="center"/>
          </w:tcPr>
          <w:p w14:paraId="1A88F7F0"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104" w:type="dxa"/>
            <w:tcBorders>
              <w:top w:val="nil"/>
              <w:left w:val="nil"/>
              <w:bottom w:val="single" w:sz="4" w:space="0" w:color="auto"/>
              <w:right w:val="single" w:sz="4" w:space="0" w:color="auto"/>
            </w:tcBorders>
            <w:shd w:val="clear" w:color="auto" w:fill="auto"/>
            <w:vAlign w:val="center"/>
          </w:tcPr>
          <w:p w14:paraId="139C6B36"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1224" w:type="dxa"/>
            <w:tcBorders>
              <w:top w:val="nil"/>
              <w:left w:val="nil"/>
              <w:bottom w:val="single" w:sz="4" w:space="0" w:color="auto"/>
              <w:right w:val="single" w:sz="4" w:space="0" w:color="auto"/>
            </w:tcBorders>
            <w:shd w:val="clear" w:color="auto" w:fill="auto"/>
            <w:vAlign w:val="center"/>
          </w:tcPr>
          <w:p w14:paraId="72C9B2DB" w14:textId="77777777"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0.00</w:t>
            </w:r>
          </w:p>
        </w:tc>
        <w:tc>
          <w:tcPr>
            <w:tcW w:w="948" w:type="dxa"/>
            <w:tcBorders>
              <w:top w:val="nil"/>
              <w:left w:val="nil"/>
              <w:bottom w:val="single" w:sz="4" w:space="0" w:color="auto"/>
              <w:right w:val="single" w:sz="4" w:space="0" w:color="auto"/>
            </w:tcBorders>
            <w:shd w:val="clear" w:color="auto" w:fill="auto"/>
            <w:vAlign w:val="center"/>
          </w:tcPr>
          <w:p w14:paraId="3EDF7D43" w14:textId="13C5180B"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1ED53701" w14:textId="7FB5AFA1"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74ABD5A9" w14:textId="7012C384" w:rsidR="0007722A" w:rsidRDefault="0007722A" w:rsidP="0007722A">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6B8FC943" w14:textId="77777777">
        <w:trPr>
          <w:trHeight w:val="879"/>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950F18F"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014FADF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合计</w:t>
            </w:r>
          </w:p>
        </w:tc>
        <w:tc>
          <w:tcPr>
            <w:tcW w:w="1284" w:type="dxa"/>
            <w:tcBorders>
              <w:top w:val="nil"/>
              <w:left w:val="nil"/>
              <w:bottom w:val="single" w:sz="4" w:space="0" w:color="auto"/>
              <w:right w:val="single" w:sz="4" w:space="0" w:color="auto"/>
            </w:tcBorders>
            <w:shd w:val="clear" w:color="auto" w:fill="auto"/>
            <w:vAlign w:val="center"/>
          </w:tcPr>
          <w:p w14:paraId="68D21E0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115.33</w:t>
            </w:r>
          </w:p>
        </w:tc>
        <w:tc>
          <w:tcPr>
            <w:tcW w:w="1104" w:type="dxa"/>
            <w:tcBorders>
              <w:top w:val="nil"/>
              <w:left w:val="nil"/>
              <w:bottom w:val="single" w:sz="4" w:space="0" w:color="auto"/>
              <w:right w:val="single" w:sz="4" w:space="0" w:color="auto"/>
            </w:tcBorders>
            <w:shd w:val="clear" w:color="auto" w:fill="auto"/>
            <w:vAlign w:val="center"/>
          </w:tcPr>
          <w:p w14:paraId="5FD77E1D" w14:textId="77777777" w:rsidR="00BA7812" w:rsidRDefault="00000000">
            <w:pPr>
              <w:widowControl/>
              <w:jc w:val="center"/>
              <w:rPr>
                <w:rFonts w:ascii="宋体" w:hAnsi="宋体" w:cs="宋体" w:hint="eastAsia"/>
                <w:kern w:val="0"/>
                <w:sz w:val="20"/>
                <w:szCs w:val="20"/>
              </w:rPr>
            </w:pPr>
            <w:bookmarkStart w:id="30" w:name="_Hlk174752862"/>
            <w:r>
              <w:rPr>
                <w:rFonts w:ascii="宋体" w:hAnsi="宋体" w:cs="宋体" w:hint="eastAsia"/>
                <w:kern w:val="0"/>
                <w:sz w:val="20"/>
                <w:szCs w:val="20"/>
              </w:rPr>
              <w:t>117.94</w:t>
            </w:r>
            <w:bookmarkEnd w:id="30"/>
          </w:p>
        </w:tc>
        <w:tc>
          <w:tcPr>
            <w:tcW w:w="1224" w:type="dxa"/>
            <w:tcBorders>
              <w:top w:val="nil"/>
              <w:left w:val="nil"/>
              <w:bottom w:val="single" w:sz="4" w:space="0" w:color="auto"/>
              <w:right w:val="single" w:sz="4" w:space="0" w:color="auto"/>
            </w:tcBorders>
            <w:shd w:val="clear" w:color="auto" w:fill="auto"/>
            <w:vAlign w:val="center"/>
          </w:tcPr>
          <w:p w14:paraId="690DF5F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117.94</w:t>
            </w:r>
          </w:p>
        </w:tc>
        <w:tc>
          <w:tcPr>
            <w:tcW w:w="948" w:type="dxa"/>
            <w:tcBorders>
              <w:top w:val="nil"/>
              <w:left w:val="nil"/>
              <w:bottom w:val="single" w:sz="4" w:space="0" w:color="auto"/>
              <w:right w:val="single" w:sz="4" w:space="0" w:color="auto"/>
            </w:tcBorders>
            <w:shd w:val="clear" w:color="auto" w:fill="auto"/>
            <w:vAlign w:val="center"/>
          </w:tcPr>
          <w:p w14:paraId="57A250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996" w:type="dxa"/>
            <w:tcBorders>
              <w:top w:val="nil"/>
              <w:left w:val="nil"/>
              <w:bottom w:val="single" w:sz="4" w:space="0" w:color="auto"/>
              <w:right w:val="single" w:sz="4" w:space="0" w:color="auto"/>
            </w:tcBorders>
            <w:shd w:val="clear" w:color="auto" w:fill="auto"/>
            <w:vAlign w:val="center"/>
          </w:tcPr>
          <w:p w14:paraId="08FE33C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c>
          <w:tcPr>
            <w:tcW w:w="733" w:type="dxa"/>
            <w:tcBorders>
              <w:top w:val="nil"/>
              <w:left w:val="nil"/>
              <w:bottom w:val="single" w:sz="4" w:space="0" w:color="auto"/>
              <w:right w:val="single" w:sz="4" w:space="0" w:color="auto"/>
            </w:tcBorders>
            <w:shd w:val="clear" w:color="auto" w:fill="auto"/>
            <w:vAlign w:val="center"/>
          </w:tcPr>
          <w:p w14:paraId="1B140EF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w:t>
            </w:r>
          </w:p>
        </w:tc>
      </w:tr>
      <w:tr w:rsidR="00BA7812" w14:paraId="13B51334" w14:textId="77777777">
        <w:trPr>
          <w:trHeight w:val="705"/>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2908E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年度总体目标</w:t>
            </w:r>
          </w:p>
        </w:tc>
        <w:tc>
          <w:tcPr>
            <w:tcW w:w="3661" w:type="dxa"/>
            <w:gridSpan w:val="3"/>
            <w:tcBorders>
              <w:top w:val="single" w:sz="4" w:space="0" w:color="auto"/>
              <w:left w:val="nil"/>
              <w:bottom w:val="single" w:sz="4" w:space="0" w:color="auto"/>
              <w:right w:val="single" w:sz="4" w:space="0" w:color="auto"/>
            </w:tcBorders>
            <w:shd w:val="clear" w:color="auto" w:fill="auto"/>
            <w:noWrap/>
            <w:vAlign w:val="center"/>
          </w:tcPr>
          <w:p w14:paraId="6F4644D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预期目标</w:t>
            </w:r>
          </w:p>
        </w:tc>
        <w:tc>
          <w:tcPr>
            <w:tcW w:w="3901" w:type="dxa"/>
            <w:gridSpan w:val="4"/>
            <w:tcBorders>
              <w:top w:val="single" w:sz="4" w:space="0" w:color="auto"/>
              <w:left w:val="nil"/>
              <w:bottom w:val="single" w:sz="4" w:space="0" w:color="auto"/>
              <w:right w:val="single" w:sz="4" w:space="0" w:color="auto"/>
            </w:tcBorders>
            <w:shd w:val="clear" w:color="auto" w:fill="auto"/>
            <w:noWrap/>
            <w:vAlign w:val="center"/>
          </w:tcPr>
          <w:p w14:paraId="75CB4F7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实际完成情况</w:t>
            </w:r>
          </w:p>
        </w:tc>
      </w:tr>
      <w:tr w:rsidR="00BA7812" w14:paraId="7DDEB9E6" w14:textId="77777777">
        <w:trPr>
          <w:trHeight w:val="200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4AE6C90" w14:textId="77777777" w:rsidR="00BA7812" w:rsidRDefault="00BA7812">
            <w:pPr>
              <w:widowControl/>
              <w:jc w:val="left"/>
              <w:rPr>
                <w:rFonts w:ascii="宋体" w:hAnsi="宋体" w:cs="宋体" w:hint="eastAsia"/>
                <w:kern w:val="0"/>
                <w:sz w:val="20"/>
                <w:szCs w:val="20"/>
              </w:rPr>
            </w:pPr>
          </w:p>
        </w:tc>
        <w:tc>
          <w:tcPr>
            <w:tcW w:w="3661" w:type="dxa"/>
            <w:gridSpan w:val="3"/>
            <w:tcBorders>
              <w:top w:val="single" w:sz="4" w:space="0" w:color="auto"/>
              <w:left w:val="nil"/>
              <w:bottom w:val="single" w:sz="4" w:space="0" w:color="auto"/>
              <w:right w:val="single" w:sz="4" w:space="0" w:color="auto"/>
            </w:tcBorders>
            <w:shd w:val="clear" w:color="auto" w:fill="auto"/>
            <w:vAlign w:val="center"/>
          </w:tcPr>
          <w:p w14:paraId="52878C67"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目标1：保障完成全年党的建设工作。</w:t>
            </w:r>
            <w:r>
              <w:rPr>
                <w:rFonts w:ascii="宋体" w:hAnsi="宋体" w:cs="宋体" w:hint="eastAsia"/>
                <w:kern w:val="0"/>
                <w:sz w:val="20"/>
                <w:szCs w:val="20"/>
              </w:rPr>
              <w:br/>
            </w:r>
            <w:r>
              <w:rPr>
                <w:rFonts w:ascii="宋体" w:hAnsi="宋体" w:cs="宋体" w:hint="eastAsia"/>
                <w:kern w:val="0"/>
                <w:sz w:val="20"/>
                <w:szCs w:val="20"/>
              </w:rPr>
              <w:br/>
              <w:t>目标2：结合“五好党支部”创建完成县直机关每季度1次，全年4次党建例会。</w:t>
            </w:r>
            <w:r>
              <w:rPr>
                <w:rFonts w:ascii="宋体" w:hAnsi="宋体" w:cs="宋体" w:hint="eastAsia"/>
                <w:kern w:val="0"/>
                <w:sz w:val="20"/>
                <w:szCs w:val="20"/>
              </w:rPr>
              <w:br/>
            </w:r>
            <w:r>
              <w:rPr>
                <w:rFonts w:ascii="宋体" w:hAnsi="宋体" w:cs="宋体" w:hint="eastAsia"/>
                <w:kern w:val="0"/>
                <w:sz w:val="20"/>
                <w:szCs w:val="20"/>
              </w:rPr>
              <w:br/>
              <w:t>目标3：完成县直各级党组织全年50个预备党员纳新工作。</w:t>
            </w:r>
          </w:p>
        </w:tc>
        <w:tc>
          <w:tcPr>
            <w:tcW w:w="3901" w:type="dxa"/>
            <w:gridSpan w:val="4"/>
            <w:tcBorders>
              <w:top w:val="single" w:sz="4" w:space="0" w:color="auto"/>
              <w:left w:val="nil"/>
              <w:bottom w:val="single" w:sz="4" w:space="0" w:color="auto"/>
              <w:right w:val="single" w:sz="4" w:space="0" w:color="auto"/>
            </w:tcBorders>
            <w:shd w:val="clear" w:color="auto" w:fill="auto"/>
            <w:vAlign w:val="center"/>
          </w:tcPr>
          <w:p w14:paraId="35223F2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截止2024年部门整体自评，我单位已完成如下工作：保障办公人员数量7人，公务用车保障数量1辆，圆满完成全年党的建设工作任务；结合“五好党支部”创建完成县直机关每季度1次，全年4次党建例会。完成县直各级党组织全年50个预备党员纳新工作。</w:t>
            </w:r>
          </w:p>
        </w:tc>
      </w:tr>
      <w:tr w:rsidR="00BA7812" w14:paraId="12F17BB8" w14:textId="77777777">
        <w:trPr>
          <w:trHeight w:val="579"/>
          <w:jc w:val="center"/>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48EA5D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一级指标</w:t>
            </w:r>
          </w:p>
        </w:tc>
        <w:tc>
          <w:tcPr>
            <w:tcW w:w="1273" w:type="dxa"/>
            <w:tcBorders>
              <w:top w:val="nil"/>
              <w:left w:val="nil"/>
              <w:bottom w:val="single" w:sz="4" w:space="0" w:color="auto"/>
              <w:right w:val="single" w:sz="4" w:space="0" w:color="auto"/>
            </w:tcBorders>
            <w:shd w:val="clear" w:color="auto" w:fill="auto"/>
            <w:vAlign w:val="center"/>
          </w:tcPr>
          <w:p w14:paraId="4F7DEC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二级指标</w:t>
            </w:r>
          </w:p>
        </w:tc>
        <w:tc>
          <w:tcPr>
            <w:tcW w:w="1284" w:type="dxa"/>
            <w:tcBorders>
              <w:top w:val="nil"/>
              <w:left w:val="nil"/>
              <w:bottom w:val="single" w:sz="4" w:space="0" w:color="auto"/>
              <w:right w:val="single" w:sz="4" w:space="0" w:color="auto"/>
            </w:tcBorders>
            <w:shd w:val="clear" w:color="auto" w:fill="auto"/>
            <w:vAlign w:val="center"/>
          </w:tcPr>
          <w:p w14:paraId="2CD83D2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三级指标</w:t>
            </w:r>
          </w:p>
        </w:tc>
        <w:tc>
          <w:tcPr>
            <w:tcW w:w="1104" w:type="dxa"/>
            <w:tcBorders>
              <w:top w:val="nil"/>
              <w:left w:val="nil"/>
              <w:bottom w:val="single" w:sz="4" w:space="0" w:color="auto"/>
              <w:right w:val="single" w:sz="4" w:space="0" w:color="auto"/>
            </w:tcBorders>
            <w:shd w:val="clear" w:color="auto" w:fill="auto"/>
            <w:vAlign w:val="center"/>
          </w:tcPr>
          <w:p w14:paraId="7EADC29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预期指标值</w:t>
            </w:r>
          </w:p>
        </w:tc>
        <w:tc>
          <w:tcPr>
            <w:tcW w:w="1224" w:type="dxa"/>
            <w:tcBorders>
              <w:top w:val="nil"/>
              <w:left w:val="nil"/>
              <w:bottom w:val="single" w:sz="4" w:space="0" w:color="auto"/>
              <w:right w:val="single" w:sz="4" w:space="0" w:color="auto"/>
            </w:tcBorders>
            <w:shd w:val="clear" w:color="auto" w:fill="auto"/>
            <w:vAlign w:val="center"/>
          </w:tcPr>
          <w:p w14:paraId="6B10515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指标值设定依据</w:t>
            </w:r>
          </w:p>
        </w:tc>
        <w:tc>
          <w:tcPr>
            <w:tcW w:w="948" w:type="dxa"/>
            <w:tcBorders>
              <w:top w:val="nil"/>
              <w:left w:val="nil"/>
              <w:bottom w:val="single" w:sz="4" w:space="0" w:color="auto"/>
              <w:right w:val="single" w:sz="4" w:space="0" w:color="auto"/>
            </w:tcBorders>
            <w:shd w:val="clear" w:color="auto" w:fill="auto"/>
            <w:vAlign w:val="center"/>
          </w:tcPr>
          <w:p w14:paraId="6C0D289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分值权重</w:t>
            </w:r>
          </w:p>
        </w:tc>
        <w:tc>
          <w:tcPr>
            <w:tcW w:w="996" w:type="dxa"/>
            <w:tcBorders>
              <w:top w:val="nil"/>
              <w:left w:val="nil"/>
              <w:bottom w:val="single" w:sz="4" w:space="0" w:color="auto"/>
              <w:right w:val="single" w:sz="4" w:space="0" w:color="auto"/>
            </w:tcBorders>
            <w:shd w:val="clear" w:color="auto" w:fill="auto"/>
            <w:vAlign w:val="center"/>
          </w:tcPr>
          <w:p w14:paraId="4FDABBF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实际完成指标值</w:t>
            </w:r>
          </w:p>
        </w:tc>
        <w:tc>
          <w:tcPr>
            <w:tcW w:w="733" w:type="dxa"/>
            <w:tcBorders>
              <w:top w:val="nil"/>
              <w:left w:val="nil"/>
              <w:bottom w:val="single" w:sz="4" w:space="0" w:color="auto"/>
              <w:right w:val="single" w:sz="4" w:space="0" w:color="auto"/>
            </w:tcBorders>
            <w:shd w:val="clear" w:color="auto" w:fill="auto"/>
            <w:vAlign w:val="center"/>
          </w:tcPr>
          <w:p w14:paraId="1569B27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得分</w:t>
            </w:r>
          </w:p>
        </w:tc>
      </w:tr>
      <w:tr w:rsidR="00BA7812" w14:paraId="1D19CA96"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2403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运行成本</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61A943E3"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359E4B7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保障办公人员数量</w:t>
            </w:r>
          </w:p>
        </w:tc>
        <w:tc>
          <w:tcPr>
            <w:tcW w:w="1104" w:type="dxa"/>
            <w:tcBorders>
              <w:top w:val="nil"/>
              <w:left w:val="nil"/>
              <w:bottom w:val="single" w:sz="4" w:space="0" w:color="auto"/>
              <w:right w:val="single" w:sz="4" w:space="0" w:color="auto"/>
            </w:tcBorders>
            <w:shd w:val="clear" w:color="auto" w:fill="auto"/>
            <w:vAlign w:val="center"/>
          </w:tcPr>
          <w:p w14:paraId="14C29CBB"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&gt;=7人</w:t>
            </w:r>
          </w:p>
        </w:tc>
        <w:tc>
          <w:tcPr>
            <w:tcW w:w="1224" w:type="dxa"/>
            <w:tcBorders>
              <w:top w:val="nil"/>
              <w:left w:val="nil"/>
              <w:bottom w:val="single" w:sz="4" w:space="0" w:color="auto"/>
              <w:right w:val="single" w:sz="4" w:space="0" w:color="auto"/>
            </w:tcBorders>
            <w:shd w:val="clear" w:color="auto" w:fill="auto"/>
            <w:vAlign w:val="center"/>
          </w:tcPr>
          <w:p w14:paraId="09036CC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木垒县哈萨克自治县委员会直属机</w:t>
            </w:r>
            <w:r>
              <w:rPr>
                <w:rFonts w:ascii="宋体" w:hAnsi="宋体" w:cs="宋体" w:hint="eastAsia"/>
                <w:kern w:val="0"/>
                <w:sz w:val="20"/>
                <w:szCs w:val="20"/>
              </w:rPr>
              <w:lastRenderedPageBreak/>
              <w:t>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636FF22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lastRenderedPageBreak/>
              <w:t>5</w:t>
            </w:r>
          </w:p>
        </w:tc>
        <w:tc>
          <w:tcPr>
            <w:tcW w:w="996" w:type="dxa"/>
            <w:tcBorders>
              <w:top w:val="nil"/>
              <w:left w:val="nil"/>
              <w:bottom w:val="single" w:sz="4" w:space="0" w:color="auto"/>
              <w:right w:val="single" w:sz="4" w:space="0" w:color="auto"/>
            </w:tcBorders>
            <w:shd w:val="clear" w:color="auto" w:fill="auto"/>
            <w:vAlign w:val="center"/>
          </w:tcPr>
          <w:p w14:paraId="58A93A9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7人</w:t>
            </w:r>
          </w:p>
        </w:tc>
        <w:tc>
          <w:tcPr>
            <w:tcW w:w="733" w:type="dxa"/>
            <w:tcBorders>
              <w:top w:val="nil"/>
              <w:left w:val="nil"/>
              <w:bottom w:val="single" w:sz="4" w:space="0" w:color="auto"/>
              <w:right w:val="single" w:sz="4" w:space="0" w:color="auto"/>
            </w:tcBorders>
            <w:shd w:val="clear" w:color="auto" w:fill="auto"/>
            <w:vAlign w:val="center"/>
          </w:tcPr>
          <w:p w14:paraId="6F39F28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5A8B57AC"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7D901F"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490EAE82"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349826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公务用车保障数量</w:t>
            </w:r>
          </w:p>
        </w:tc>
        <w:tc>
          <w:tcPr>
            <w:tcW w:w="1104" w:type="dxa"/>
            <w:tcBorders>
              <w:top w:val="nil"/>
              <w:left w:val="nil"/>
              <w:bottom w:val="single" w:sz="4" w:space="0" w:color="auto"/>
              <w:right w:val="single" w:sz="4" w:space="0" w:color="auto"/>
            </w:tcBorders>
            <w:shd w:val="clear" w:color="auto" w:fill="auto"/>
            <w:vAlign w:val="center"/>
          </w:tcPr>
          <w:p w14:paraId="461B77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&gt;=1辆</w:t>
            </w:r>
          </w:p>
        </w:tc>
        <w:tc>
          <w:tcPr>
            <w:tcW w:w="1224" w:type="dxa"/>
            <w:tcBorders>
              <w:top w:val="nil"/>
              <w:left w:val="nil"/>
              <w:bottom w:val="single" w:sz="4" w:space="0" w:color="auto"/>
              <w:right w:val="single" w:sz="4" w:space="0" w:color="auto"/>
            </w:tcBorders>
            <w:shd w:val="clear" w:color="auto" w:fill="auto"/>
            <w:vAlign w:val="center"/>
          </w:tcPr>
          <w:p w14:paraId="26BD1B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木垒哈萨克自治县委员会直属机关工作委员会职能配置、内设机构和人员编制规定</w:t>
            </w:r>
          </w:p>
        </w:tc>
        <w:tc>
          <w:tcPr>
            <w:tcW w:w="948" w:type="dxa"/>
            <w:tcBorders>
              <w:top w:val="nil"/>
              <w:left w:val="nil"/>
              <w:bottom w:val="single" w:sz="4" w:space="0" w:color="auto"/>
              <w:right w:val="single" w:sz="4" w:space="0" w:color="auto"/>
            </w:tcBorders>
            <w:shd w:val="clear" w:color="auto" w:fill="auto"/>
            <w:vAlign w:val="center"/>
          </w:tcPr>
          <w:p w14:paraId="3FC62C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c>
          <w:tcPr>
            <w:tcW w:w="996" w:type="dxa"/>
            <w:tcBorders>
              <w:top w:val="nil"/>
              <w:left w:val="nil"/>
              <w:bottom w:val="single" w:sz="4" w:space="0" w:color="auto"/>
              <w:right w:val="single" w:sz="4" w:space="0" w:color="auto"/>
            </w:tcBorders>
            <w:shd w:val="clear" w:color="auto" w:fill="auto"/>
            <w:vAlign w:val="center"/>
          </w:tcPr>
          <w:p w14:paraId="30AD06C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1辆</w:t>
            </w:r>
          </w:p>
        </w:tc>
        <w:tc>
          <w:tcPr>
            <w:tcW w:w="733" w:type="dxa"/>
            <w:tcBorders>
              <w:top w:val="nil"/>
              <w:left w:val="nil"/>
              <w:bottom w:val="single" w:sz="4" w:space="0" w:color="auto"/>
              <w:right w:val="single" w:sz="4" w:space="0" w:color="auto"/>
            </w:tcBorders>
            <w:shd w:val="clear" w:color="auto" w:fill="auto"/>
            <w:vAlign w:val="center"/>
          </w:tcPr>
          <w:p w14:paraId="78EA960D"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w:t>
            </w:r>
          </w:p>
        </w:tc>
      </w:tr>
      <w:tr w:rsidR="00BA7812" w14:paraId="7C91CFC7"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EAF5181"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管理效率</w:t>
            </w:r>
          </w:p>
        </w:tc>
        <w:tc>
          <w:tcPr>
            <w:tcW w:w="1273" w:type="dxa"/>
            <w:vMerge/>
            <w:tcBorders>
              <w:top w:val="nil"/>
              <w:left w:val="single" w:sz="4" w:space="0" w:color="auto"/>
              <w:bottom w:val="single" w:sz="4" w:space="0" w:color="auto"/>
              <w:right w:val="single" w:sz="4" w:space="0" w:color="auto"/>
            </w:tcBorders>
            <w:vAlign w:val="center"/>
          </w:tcPr>
          <w:p w14:paraId="16D68A8C"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3F8DD7A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党建例会次数</w:t>
            </w:r>
          </w:p>
        </w:tc>
        <w:tc>
          <w:tcPr>
            <w:tcW w:w="1104" w:type="dxa"/>
            <w:tcBorders>
              <w:top w:val="nil"/>
              <w:left w:val="nil"/>
              <w:bottom w:val="single" w:sz="4" w:space="0" w:color="auto"/>
              <w:right w:val="single" w:sz="4" w:space="0" w:color="auto"/>
            </w:tcBorders>
            <w:shd w:val="clear" w:color="auto" w:fill="auto"/>
            <w:vAlign w:val="center"/>
          </w:tcPr>
          <w:p w14:paraId="3F97F83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&gt;=4期</w:t>
            </w:r>
          </w:p>
        </w:tc>
        <w:tc>
          <w:tcPr>
            <w:tcW w:w="1224" w:type="dxa"/>
            <w:tcBorders>
              <w:top w:val="nil"/>
              <w:left w:val="nil"/>
              <w:bottom w:val="single" w:sz="4" w:space="0" w:color="auto"/>
              <w:right w:val="single" w:sz="4" w:space="0" w:color="auto"/>
            </w:tcBorders>
            <w:shd w:val="clear" w:color="auto" w:fill="auto"/>
            <w:vAlign w:val="center"/>
          </w:tcPr>
          <w:p w14:paraId="441B27A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60CE312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c>
          <w:tcPr>
            <w:tcW w:w="996" w:type="dxa"/>
            <w:tcBorders>
              <w:top w:val="nil"/>
              <w:left w:val="nil"/>
              <w:bottom w:val="single" w:sz="4" w:space="0" w:color="auto"/>
              <w:right w:val="single" w:sz="4" w:space="0" w:color="auto"/>
            </w:tcBorders>
            <w:shd w:val="clear" w:color="auto" w:fill="auto"/>
            <w:vAlign w:val="center"/>
          </w:tcPr>
          <w:p w14:paraId="6140711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4期</w:t>
            </w:r>
          </w:p>
        </w:tc>
        <w:tc>
          <w:tcPr>
            <w:tcW w:w="733" w:type="dxa"/>
            <w:tcBorders>
              <w:top w:val="nil"/>
              <w:left w:val="nil"/>
              <w:bottom w:val="single" w:sz="4" w:space="0" w:color="auto"/>
              <w:right w:val="single" w:sz="4" w:space="0" w:color="auto"/>
            </w:tcBorders>
            <w:shd w:val="clear" w:color="auto" w:fill="auto"/>
            <w:vAlign w:val="center"/>
          </w:tcPr>
          <w:p w14:paraId="003E997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13</w:t>
            </w:r>
          </w:p>
        </w:tc>
      </w:tr>
      <w:tr w:rsidR="00BA7812" w14:paraId="700D46DE"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0DD00EE" w14:textId="77777777" w:rsidR="00BA7812" w:rsidRDefault="00BA7812">
            <w:pPr>
              <w:widowControl/>
              <w:jc w:val="left"/>
              <w:rPr>
                <w:rFonts w:ascii="宋体" w:hAnsi="宋体" w:cs="宋体" w:hint="eastAsia"/>
                <w:kern w:val="0"/>
                <w:sz w:val="20"/>
                <w:szCs w:val="20"/>
              </w:rPr>
            </w:pPr>
          </w:p>
        </w:tc>
        <w:tc>
          <w:tcPr>
            <w:tcW w:w="1273" w:type="dxa"/>
            <w:tcBorders>
              <w:top w:val="nil"/>
              <w:left w:val="nil"/>
              <w:bottom w:val="single" w:sz="4" w:space="0" w:color="auto"/>
              <w:right w:val="single" w:sz="4" w:space="0" w:color="auto"/>
            </w:tcBorders>
            <w:shd w:val="clear" w:color="auto" w:fill="auto"/>
            <w:vAlign w:val="center"/>
          </w:tcPr>
          <w:p w14:paraId="3979611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vAlign w:val="center"/>
          </w:tcPr>
          <w:p w14:paraId="008E4C6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党建例会参与率</w:t>
            </w:r>
          </w:p>
        </w:tc>
        <w:tc>
          <w:tcPr>
            <w:tcW w:w="1104" w:type="dxa"/>
            <w:tcBorders>
              <w:top w:val="nil"/>
              <w:left w:val="nil"/>
              <w:bottom w:val="single" w:sz="4" w:space="0" w:color="auto"/>
              <w:right w:val="single" w:sz="4" w:space="0" w:color="auto"/>
            </w:tcBorders>
            <w:shd w:val="clear" w:color="auto" w:fill="auto"/>
            <w:vAlign w:val="center"/>
          </w:tcPr>
          <w:p w14:paraId="6E16E92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vAlign w:val="center"/>
          </w:tcPr>
          <w:p w14:paraId="7FFC860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15AE3A0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57F4A15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vAlign w:val="center"/>
          </w:tcPr>
          <w:p w14:paraId="5EDD6F8C"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65599EB1" w14:textId="77777777">
        <w:trPr>
          <w:trHeight w:val="741"/>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499E6"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履职效能</w:t>
            </w:r>
          </w:p>
        </w:tc>
        <w:tc>
          <w:tcPr>
            <w:tcW w:w="1273" w:type="dxa"/>
            <w:vMerge w:val="restart"/>
            <w:tcBorders>
              <w:top w:val="nil"/>
              <w:left w:val="single" w:sz="4" w:space="0" w:color="auto"/>
              <w:bottom w:val="single" w:sz="4" w:space="0" w:color="auto"/>
              <w:right w:val="single" w:sz="4" w:space="0" w:color="auto"/>
            </w:tcBorders>
            <w:shd w:val="clear" w:color="auto" w:fill="auto"/>
            <w:vAlign w:val="center"/>
          </w:tcPr>
          <w:p w14:paraId="5670F21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数量指标</w:t>
            </w:r>
          </w:p>
        </w:tc>
        <w:tc>
          <w:tcPr>
            <w:tcW w:w="1284" w:type="dxa"/>
            <w:tcBorders>
              <w:top w:val="nil"/>
              <w:left w:val="nil"/>
              <w:bottom w:val="single" w:sz="4" w:space="0" w:color="auto"/>
              <w:right w:val="single" w:sz="4" w:space="0" w:color="auto"/>
            </w:tcBorders>
            <w:shd w:val="clear" w:color="auto" w:fill="auto"/>
            <w:vAlign w:val="center"/>
          </w:tcPr>
          <w:p w14:paraId="4603EE30"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党员发展数量</w:t>
            </w:r>
          </w:p>
        </w:tc>
        <w:tc>
          <w:tcPr>
            <w:tcW w:w="1104" w:type="dxa"/>
            <w:tcBorders>
              <w:top w:val="nil"/>
              <w:left w:val="nil"/>
              <w:bottom w:val="single" w:sz="4" w:space="0" w:color="auto"/>
              <w:right w:val="single" w:sz="4" w:space="0" w:color="auto"/>
            </w:tcBorders>
            <w:shd w:val="clear" w:color="auto" w:fill="auto"/>
            <w:vAlign w:val="center"/>
          </w:tcPr>
          <w:p w14:paraId="1FD58A1F"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&gt;=50人</w:t>
            </w:r>
          </w:p>
        </w:tc>
        <w:tc>
          <w:tcPr>
            <w:tcW w:w="1224" w:type="dxa"/>
            <w:tcBorders>
              <w:top w:val="nil"/>
              <w:left w:val="nil"/>
              <w:bottom w:val="single" w:sz="4" w:space="0" w:color="auto"/>
              <w:right w:val="single" w:sz="4" w:space="0" w:color="auto"/>
            </w:tcBorders>
            <w:shd w:val="clear" w:color="auto" w:fill="auto"/>
            <w:vAlign w:val="center"/>
          </w:tcPr>
          <w:p w14:paraId="5E20833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205647B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vAlign w:val="center"/>
          </w:tcPr>
          <w:p w14:paraId="290A31EA"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50人</w:t>
            </w:r>
          </w:p>
        </w:tc>
        <w:tc>
          <w:tcPr>
            <w:tcW w:w="733" w:type="dxa"/>
            <w:tcBorders>
              <w:top w:val="nil"/>
              <w:left w:val="nil"/>
              <w:bottom w:val="single" w:sz="4" w:space="0" w:color="auto"/>
              <w:right w:val="single" w:sz="4" w:space="0" w:color="auto"/>
            </w:tcBorders>
            <w:shd w:val="clear" w:color="auto" w:fill="auto"/>
            <w:vAlign w:val="center"/>
          </w:tcPr>
          <w:p w14:paraId="0729B035"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12</w:t>
            </w:r>
          </w:p>
        </w:tc>
      </w:tr>
      <w:tr w:rsidR="00BA7812" w14:paraId="580B7A1F"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A29EA68" w14:textId="77777777" w:rsidR="00BA7812" w:rsidRDefault="00BA7812">
            <w:pPr>
              <w:widowControl/>
              <w:jc w:val="left"/>
              <w:rPr>
                <w:rFonts w:ascii="宋体" w:hAnsi="宋体" w:cs="宋体" w:hint="eastAsia"/>
                <w:kern w:val="0"/>
                <w:sz w:val="20"/>
                <w:szCs w:val="20"/>
              </w:rPr>
            </w:pPr>
          </w:p>
        </w:tc>
        <w:tc>
          <w:tcPr>
            <w:tcW w:w="1273" w:type="dxa"/>
            <w:vMerge/>
            <w:tcBorders>
              <w:top w:val="nil"/>
              <w:left w:val="single" w:sz="4" w:space="0" w:color="auto"/>
              <w:bottom w:val="single" w:sz="4" w:space="0" w:color="auto"/>
              <w:right w:val="single" w:sz="4" w:space="0" w:color="auto"/>
            </w:tcBorders>
            <w:vAlign w:val="center"/>
          </w:tcPr>
          <w:p w14:paraId="75126627"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vAlign w:val="center"/>
          </w:tcPr>
          <w:p w14:paraId="5DE5E638"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党员教育培训数量</w:t>
            </w:r>
          </w:p>
        </w:tc>
        <w:tc>
          <w:tcPr>
            <w:tcW w:w="1104" w:type="dxa"/>
            <w:tcBorders>
              <w:top w:val="nil"/>
              <w:left w:val="nil"/>
              <w:bottom w:val="single" w:sz="4" w:space="0" w:color="auto"/>
              <w:right w:val="single" w:sz="4" w:space="0" w:color="auto"/>
            </w:tcBorders>
            <w:shd w:val="clear" w:color="auto" w:fill="auto"/>
            <w:vAlign w:val="center"/>
          </w:tcPr>
          <w:p w14:paraId="57BDDC84"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&gt;=2期</w:t>
            </w:r>
          </w:p>
        </w:tc>
        <w:tc>
          <w:tcPr>
            <w:tcW w:w="1224" w:type="dxa"/>
            <w:tcBorders>
              <w:top w:val="nil"/>
              <w:left w:val="nil"/>
              <w:bottom w:val="single" w:sz="4" w:space="0" w:color="auto"/>
              <w:right w:val="single" w:sz="4" w:space="0" w:color="auto"/>
            </w:tcBorders>
            <w:shd w:val="clear" w:color="auto" w:fill="auto"/>
            <w:vAlign w:val="center"/>
          </w:tcPr>
          <w:p w14:paraId="29C19C8E"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vAlign w:val="center"/>
          </w:tcPr>
          <w:p w14:paraId="039FBCF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vAlign w:val="center"/>
          </w:tcPr>
          <w:p w14:paraId="22203CB9"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2期</w:t>
            </w:r>
          </w:p>
        </w:tc>
        <w:tc>
          <w:tcPr>
            <w:tcW w:w="733" w:type="dxa"/>
            <w:tcBorders>
              <w:top w:val="nil"/>
              <w:left w:val="nil"/>
              <w:bottom w:val="single" w:sz="4" w:space="0" w:color="auto"/>
              <w:right w:val="single" w:sz="4" w:space="0" w:color="auto"/>
            </w:tcBorders>
            <w:shd w:val="clear" w:color="auto" w:fill="auto"/>
            <w:vAlign w:val="center"/>
          </w:tcPr>
          <w:p w14:paraId="49C65082" w14:textId="77777777" w:rsidR="00BA7812" w:rsidRDefault="00000000">
            <w:pPr>
              <w:widowControl/>
              <w:jc w:val="center"/>
              <w:rPr>
                <w:rFonts w:ascii="宋体" w:hAnsi="宋体" w:cs="宋体" w:hint="eastAsia"/>
                <w:kern w:val="0"/>
                <w:sz w:val="20"/>
                <w:szCs w:val="20"/>
              </w:rPr>
            </w:pPr>
            <w:r>
              <w:rPr>
                <w:rFonts w:ascii="宋体" w:hAnsi="宋体" w:cs="宋体" w:hint="eastAsia"/>
                <w:kern w:val="0"/>
                <w:sz w:val="20"/>
                <w:szCs w:val="20"/>
              </w:rPr>
              <w:t>11</w:t>
            </w:r>
          </w:p>
        </w:tc>
      </w:tr>
      <w:tr w:rsidR="00BA7812" w14:paraId="396F3791" w14:textId="77777777">
        <w:trPr>
          <w:trHeight w:val="741"/>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B58CA82" w14:textId="77777777" w:rsidR="00BA7812" w:rsidRDefault="00BA7812">
            <w:pPr>
              <w:widowControl/>
              <w:jc w:val="left"/>
              <w:rPr>
                <w:rFonts w:ascii="宋体" w:hAnsi="宋体" w:cs="宋体" w:hint="eastAsia"/>
                <w:kern w:val="0"/>
                <w:sz w:val="20"/>
                <w:szCs w:val="20"/>
              </w:rPr>
            </w:pPr>
          </w:p>
        </w:tc>
        <w:tc>
          <w:tcPr>
            <w:tcW w:w="1273" w:type="dxa"/>
            <w:vMerge w:val="restart"/>
            <w:tcBorders>
              <w:top w:val="nil"/>
              <w:left w:val="single" w:sz="4" w:space="0" w:color="auto"/>
              <w:bottom w:val="single" w:sz="4" w:space="0" w:color="auto"/>
              <w:right w:val="single" w:sz="4" w:space="0" w:color="auto"/>
            </w:tcBorders>
            <w:shd w:val="clear" w:color="auto" w:fill="auto"/>
            <w:noWrap/>
            <w:vAlign w:val="center"/>
          </w:tcPr>
          <w:p w14:paraId="285DAF80"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质量指标</w:t>
            </w:r>
          </w:p>
        </w:tc>
        <w:tc>
          <w:tcPr>
            <w:tcW w:w="1284" w:type="dxa"/>
            <w:tcBorders>
              <w:top w:val="nil"/>
              <w:left w:val="nil"/>
              <w:bottom w:val="single" w:sz="4" w:space="0" w:color="auto"/>
              <w:right w:val="single" w:sz="4" w:space="0" w:color="auto"/>
            </w:tcBorders>
            <w:shd w:val="clear" w:color="auto" w:fill="auto"/>
            <w:noWrap/>
            <w:vAlign w:val="center"/>
          </w:tcPr>
          <w:p w14:paraId="2D2285E9"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预备党员转正率</w:t>
            </w:r>
          </w:p>
        </w:tc>
        <w:tc>
          <w:tcPr>
            <w:tcW w:w="1104" w:type="dxa"/>
            <w:tcBorders>
              <w:top w:val="nil"/>
              <w:left w:val="nil"/>
              <w:bottom w:val="single" w:sz="4" w:space="0" w:color="auto"/>
              <w:right w:val="single" w:sz="4" w:space="0" w:color="auto"/>
            </w:tcBorders>
            <w:shd w:val="clear" w:color="auto" w:fill="auto"/>
            <w:noWrap/>
            <w:vAlign w:val="center"/>
          </w:tcPr>
          <w:p w14:paraId="20780F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38EE727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2EA9A24F"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c>
          <w:tcPr>
            <w:tcW w:w="996" w:type="dxa"/>
            <w:tcBorders>
              <w:top w:val="nil"/>
              <w:left w:val="nil"/>
              <w:bottom w:val="single" w:sz="4" w:space="0" w:color="auto"/>
              <w:right w:val="single" w:sz="4" w:space="0" w:color="auto"/>
            </w:tcBorders>
            <w:shd w:val="clear" w:color="auto" w:fill="auto"/>
            <w:noWrap/>
            <w:vAlign w:val="center"/>
          </w:tcPr>
          <w:p w14:paraId="3CC4863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5A5CE94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11</w:t>
            </w:r>
          </w:p>
        </w:tc>
      </w:tr>
      <w:tr w:rsidR="00BA7812" w14:paraId="56584B0C"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B3948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lastRenderedPageBreak/>
              <w:t>社会效益</w:t>
            </w:r>
          </w:p>
        </w:tc>
        <w:tc>
          <w:tcPr>
            <w:tcW w:w="1273" w:type="dxa"/>
            <w:vMerge/>
            <w:tcBorders>
              <w:top w:val="nil"/>
              <w:left w:val="single" w:sz="4" w:space="0" w:color="auto"/>
              <w:bottom w:val="single" w:sz="4" w:space="0" w:color="auto"/>
              <w:right w:val="single" w:sz="4" w:space="0" w:color="auto"/>
            </w:tcBorders>
            <w:vAlign w:val="center"/>
          </w:tcPr>
          <w:p w14:paraId="565623F6"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41AE664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党员纳新率</w:t>
            </w:r>
          </w:p>
        </w:tc>
        <w:tc>
          <w:tcPr>
            <w:tcW w:w="1104" w:type="dxa"/>
            <w:tcBorders>
              <w:top w:val="nil"/>
              <w:left w:val="nil"/>
              <w:bottom w:val="single" w:sz="4" w:space="0" w:color="auto"/>
              <w:right w:val="single" w:sz="4" w:space="0" w:color="auto"/>
            </w:tcBorders>
            <w:shd w:val="clear" w:color="auto" w:fill="auto"/>
            <w:noWrap/>
            <w:vAlign w:val="center"/>
          </w:tcPr>
          <w:p w14:paraId="5A9606A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&gt;=96%</w:t>
            </w:r>
          </w:p>
        </w:tc>
        <w:tc>
          <w:tcPr>
            <w:tcW w:w="1224" w:type="dxa"/>
            <w:tcBorders>
              <w:top w:val="nil"/>
              <w:left w:val="nil"/>
              <w:bottom w:val="single" w:sz="4" w:space="0" w:color="auto"/>
              <w:right w:val="single" w:sz="4" w:space="0" w:color="auto"/>
            </w:tcBorders>
            <w:shd w:val="clear" w:color="auto" w:fill="auto"/>
            <w:noWrap/>
            <w:vAlign w:val="center"/>
          </w:tcPr>
          <w:p w14:paraId="48895D1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58C4952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c>
          <w:tcPr>
            <w:tcW w:w="996" w:type="dxa"/>
            <w:tcBorders>
              <w:top w:val="nil"/>
              <w:left w:val="nil"/>
              <w:bottom w:val="single" w:sz="4" w:space="0" w:color="auto"/>
              <w:right w:val="single" w:sz="4" w:space="0" w:color="auto"/>
            </w:tcBorders>
            <w:shd w:val="clear" w:color="auto" w:fill="auto"/>
            <w:noWrap/>
            <w:vAlign w:val="center"/>
          </w:tcPr>
          <w:p w14:paraId="089A6DD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96%</w:t>
            </w:r>
          </w:p>
        </w:tc>
        <w:tc>
          <w:tcPr>
            <w:tcW w:w="733" w:type="dxa"/>
            <w:tcBorders>
              <w:top w:val="nil"/>
              <w:left w:val="nil"/>
              <w:bottom w:val="single" w:sz="4" w:space="0" w:color="auto"/>
              <w:right w:val="single" w:sz="4" w:space="0" w:color="auto"/>
            </w:tcBorders>
            <w:shd w:val="clear" w:color="auto" w:fill="auto"/>
            <w:noWrap/>
            <w:vAlign w:val="center"/>
          </w:tcPr>
          <w:p w14:paraId="277533F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12</w:t>
            </w:r>
          </w:p>
        </w:tc>
      </w:tr>
      <w:tr w:rsidR="00BA7812" w14:paraId="5FE4A6CE"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43F8E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可持续发展能力</w:t>
            </w:r>
          </w:p>
        </w:tc>
        <w:tc>
          <w:tcPr>
            <w:tcW w:w="1273" w:type="dxa"/>
            <w:vMerge/>
            <w:tcBorders>
              <w:top w:val="nil"/>
              <w:left w:val="single" w:sz="4" w:space="0" w:color="auto"/>
              <w:bottom w:val="single" w:sz="4" w:space="0" w:color="auto"/>
              <w:right w:val="single" w:sz="4" w:space="0" w:color="auto"/>
            </w:tcBorders>
            <w:vAlign w:val="center"/>
          </w:tcPr>
          <w:p w14:paraId="0EB0A531" w14:textId="77777777" w:rsidR="00BA7812" w:rsidRDefault="00BA7812">
            <w:pPr>
              <w:widowControl/>
              <w:jc w:val="left"/>
              <w:rPr>
                <w:rFonts w:ascii="宋体" w:hAnsi="宋体" w:cs="宋体" w:hint="eastAsia"/>
                <w:kern w:val="0"/>
                <w:sz w:val="20"/>
                <w:szCs w:val="20"/>
              </w:rPr>
            </w:pPr>
          </w:p>
        </w:tc>
        <w:tc>
          <w:tcPr>
            <w:tcW w:w="1284" w:type="dxa"/>
            <w:tcBorders>
              <w:top w:val="nil"/>
              <w:left w:val="nil"/>
              <w:bottom w:val="single" w:sz="4" w:space="0" w:color="auto"/>
              <w:right w:val="single" w:sz="4" w:space="0" w:color="auto"/>
            </w:tcBorders>
            <w:shd w:val="clear" w:color="auto" w:fill="auto"/>
            <w:noWrap/>
            <w:vAlign w:val="center"/>
          </w:tcPr>
          <w:p w14:paraId="29BDF22A"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党务公开、党内监督覆盖率</w:t>
            </w:r>
          </w:p>
        </w:tc>
        <w:tc>
          <w:tcPr>
            <w:tcW w:w="1104" w:type="dxa"/>
            <w:tcBorders>
              <w:top w:val="nil"/>
              <w:left w:val="nil"/>
              <w:bottom w:val="single" w:sz="4" w:space="0" w:color="auto"/>
              <w:right w:val="single" w:sz="4" w:space="0" w:color="auto"/>
            </w:tcBorders>
            <w:shd w:val="clear" w:color="auto" w:fill="auto"/>
            <w:noWrap/>
            <w:vAlign w:val="center"/>
          </w:tcPr>
          <w:p w14:paraId="76FFF2EC"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&gt;=95%</w:t>
            </w:r>
          </w:p>
        </w:tc>
        <w:tc>
          <w:tcPr>
            <w:tcW w:w="1224" w:type="dxa"/>
            <w:tcBorders>
              <w:top w:val="nil"/>
              <w:left w:val="nil"/>
              <w:bottom w:val="single" w:sz="4" w:space="0" w:color="auto"/>
              <w:right w:val="single" w:sz="4" w:space="0" w:color="auto"/>
            </w:tcBorders>
            <w:shd w:val="clear" w:color="auto" w:fill="auto"/>
            <w:noWrap/>
            <w:vAlign w:val="center"/>
          </w:tcPr>
          <w:p w14:paraId="54173461"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木垒哈萨克自治县委员会直属机关工作委员2023年工作计划</w:t>
            </w:r>
          </w:p>
        </w:tc>
        <w:tc>
          <w:tcPr>
            <w:tcW w:w="948" w:type="dxa"/>
            <w:tcBorders>
              <w:top w:val="nil"/>
              <w:left w:val="nil"/>
              <w:bottom w:val="single" w:sz="4" w:space="0" w:color="auto"/>
              <w:right w:val="single" w:sz="4" w:space="0" w:color="auto"/>
            </w:tcBorders>
            <w:shd w:val="clear" w:color="auto" w:fill="auto"/>
            <w:noWrap/>
            <w:vAlign w:val="center"/>
          </w:tcPr>
          <w:p w14:paraId="194155C4"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c>
          <w:tcPr>
            <w:tcW w:w="996" w:type="dxa"/>
            <w:tcBorders>
              <w:top w:val="nil"/>
              <w:left w:val="nil"/>
              <w:bottom w:val="single" w:sz="4" w:space="0" w:color="auto"/>
              <w:right w:val="single" w:sz="4" w:space="0" w:color="auto"/>
            </w:tcBorders>
            <w:shd w:val="clear" w:color="auto" w:fill="auto"/>
            <w:noWrap/>
            <w:vAlign w:val="center"/>
          </w:tcPr>
          <w:p w14:paraId="7A84029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95%</w:t>
            </w:r>
          </w:p>
        </w:tc>
        <w:tc>
          <w:tcPr>
            <w:tcW w:w="733" w:type="dxa"/>
            <w:tcBorders>
              <w:top w:val="nil"/>
              <w:left w:val="nil"/>
              <w:bottom w:val="single" w:sz="4" w:space="0" w:color="auto"/>
              <w:right w:val="single" w:sz="4" w:space="0" w:color="auto"/>
            </w:tcBorders>
            <w:shd w:val="clear" w:color="auto" w:fill="auto"/>
            <w:noWrap/>
            <w:vAlign w:val="center"/>
          </w:tcPr>
          <w:p w14:paraId="3564322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10</w:t>
            </w:r>
          </w:p>
        </w:tc>
      </w:tr>
      <w:tr w:rsidR="00BA7812" w14:paraId="568EC7D0" w14:textId="77777777">
        <w:trPr>
          <w:trHeight w:val="741"/>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E02638"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服务对象满意度</w:t>
            </w:r>
          </w:p>
        </w:tc>
        <w:tc>
          <w:tcPr>
            <w:tcW w:w="1273" w:type="dxa"/>
            <w:tcBorders>
              <w:top w:val="nil"/>
              <w:left w:val="nil"/>
              <w:bottom w:val="single" w:sz="4" w:space="0" w:color="auto"/>
              <w:right w:val="single" w:sz="4" w:space="0" w:color="auto"/>
            </w:tcBorders>
            <w:shd w:val="clear" w:color="auto" w:fill="auto"/>
            <w:noWrap/>
            <w:vAlign w:val="center"/>
          </w:tcPr>
          <w:p w14:paraId="6F271612"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84" w:type="dxa"/>
            <w:tcBorders>
              <w:top w:val="nil"/>
              <w:left w:val="nil"/>
              <w:bottom w:val="single" w:sz="4" w:space="0" w:color="auto"/>
              <w:right w:val="single" w:sz="4" w:space="0" w:color="auto"/>
            </w:tcBorders>
            <w:shd w:val="clear" w:color="auto" w:fill="auto"/>
            <w:noWrap/>
            <w:vAlign w:val="center"/>
          </w:tcPr>
          <w:p w14:paraId="4986A7AD"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104" w:type="dxa"/>
            <w:tcBorders>
              <w:top w:val="nil"/>
              <w:left w:val="nil"/>
              <w:bottom w:val="single" w:sz="4" w:space="0" w:color="auto"/>
              <w:right w:val="single" w:sz="4" w:space="0" w:color="auto"/>
            </w:tcBorders>
            <w:shd w:val="clear" w:color="auto" w:fill="auto"/>
            <w:noWrap/>
            <w:vAlign w:val="center"/>
          </w:tcPr>
          <w:p w14:paraId="4DDB6A7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1224" w:type="dxa"/>
            <w:tcBorders>
              <w:top w:val="nil"/>
              <w:left w:val="nil"/>
              <w:bottom w:val="single" w:sz="4" w:space="0" w:color="auto"/>
              <w:right w:val="single" w:sz="4" w:space="0" w:color="auto"/>
            </w:tcBorders>
            <w:shd w:val="clear" w:color="auto" w:fill="auto"/>
            <w:noWrap/>
            <w:vAlign w:val="center"/>
          </w:tcPr>
          <w:p w14:paraId="75914B0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48" w:type="dxa"/>
            <w:tcBorders>
              <w:top w:val="nil"/>
              <w:left w:val="nil"/>
              <w:bottom w:val="single" w:sz="4" w:space="0" w:color="auto"/>
              <w:right w:val="single" w:sz="4" w:space="0" w:color="auto"/>
            </w:tcBorders>
            <w:shd w:val="clear" w:color="auto" w:fill="auto"/>
            <w:noWrap/>
            <w:vAlign w:val="center"/>
          </w:tcPr>
          <w:p w14:paraId="61F80A8E"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996" w:type="dxa"/>
            <w:tcBorders>
              <w:top w:val="nil"/>
              <w:left w:val="nil"/>
              <w:bottom w:val="single" w:sz="4" w:space="0" w:color="auto"/>
              <w:right w:val="single" w:sz="4" w:space="0" w:color="auto"/>
            </w:tcBorders>
            <w:shd w:val="clear" w:color="auto" w:fill="auto"/>
            <w:noWrap/>
            <w:vAlign w:val="center"/>
          </w:tcPr>
          <w:p w14:paraId="03B9E0A7"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c>
          <w:tcPr>
            <w:tcW w:w="733" w:type="dxa"/>
            <w:tcBorders>
              <w:top w:val="nil"/>
              <w:left w:val="nil"/>
              <w:bottom w:val="single" w:sz="4" w:space="0" w:color="auto"/>
              <w:right w:val="single" w:sz="4" w:space="0" w:color="auto"/>
            </w:tcBorders>
            <w:shd w:val="clear" w:color="auto" w:fill="auto"/>
            <w:noWrap/>
            <w:vAlign w:val="center"/>
          </w:tcPr>
          <w:p w14:paraId="0CEC0BD6" w14:textId="77777777" w:rsidR="00BA7812" w:rsidRDefault="00000000">
            <w:pPr>
              <w:widowControl/>
              <w:jc w:val="left"/>
              <w:rPr>
                <w:rFonts w:ascii="宋体" w:hAnsi="宋体" w:cs="宋体" w:hint="eastAsia"/>
                <w:kern w:val="0"/>
                <w:sz w:val="20"/>
                <w:szCs w:val="20"/>
              </w:rPr>
            </w:pPr>
            <w:r>
              <w:rPr>
                <w:rFonts w:ascii="宋体" w:hAnsi="宋体" w:cs="宋体" w:hint="eastAsia"/>
                <w:kern w:val="0"/>
                <w:sz w:val="20"/>
                <w:szCs w:val="20"/>
              </w:rPr>
              <w:t xml:space="preserve">　</w:t>
            </w:r>
          </w:p>
        </w:tc>
      </w:tr>
    </w:tbl>
    <w:p w14:paraId="3E9463CF" w14:textId="77777777" w:rsidR="00BA7812"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5DC5CF98" w14:textId="2C56D3A1" w:rsidR="00BA7812"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万元。其中授予中小企业合同金额、授予小</w:t>
      </w:r>
      <w:proofErr w:type="gramStart"/>
      <w:r>
        <w:rPr>
          <w:rFonts w:ascii="仿宋_GB2312" w:eastAsia="仿宋_GB2312" w:hAnsi="仿宋_GB2312" w:cs="仿宋_GB2312" w:hint="eastAsia"/>
          <w:kern w:val="0"/>
          <w:sz w:val="32"/>
          <w:szCs w:val="32"/>
        </w:rPr>
        <w:t>微企业</w:t>
      </w:r>
      <w:proofErr w:type="gramEnd"/>
      <w:r>
        <w:rPr>
          <w:rFonts w:ascii="仿宋_GB2312" w:eastAsia="仿宋_GB2312" w:hAnsi="仿宋_GB2312" w:cs="仿宋_GB2312" w:hint="eastAsia"/>
          <w:kern w:val="0"/>
          <w:sz w:val="32"/>
          <w:szCs w:val="32"/>
        </w:rPr>
        <w:t>合同金额为0</w:t>
      </w:r>
      <w:r w:rsidR="003A2F91">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w:t>
      </w:r>
    </w:p>
    <w:p w14:paraId="08B9DA6E" w14:textId="77777777" w:rsidR="00BA7812" w:rsidRDefault="00000000">
      <w:pPr>
        <w:jc w:val="center"/>
        <w:outlineLvl w:val="0"/>
        <w:rPr>
          <w:rFonts w:ascii="黑体" w:eastAsia="黑体" w:hAnsi="黑体" w:hint="eastAsia"/>
          <w:sz w:val="32"/>
          <w:szCs w:val="32"/>
        </w:rPr>
      </w:pPr>
      <w:bookmarkStart w:id="31" w:name="_Toc3250"/>
      <w:bookmarkStart w:id="32" w:name="_Toc24143"/>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1"/>
      <w:bookmarkEnd w:id="32"/>
    </w:p>
    <w:p w14:paraId="5CFD6A2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0DD485D"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442DB921"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923FA5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64468D67"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01AB870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C68E760"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4F8105B3"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23C47ADF"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43AA847E" w14:textId="77777777" w:rsidR="00BA7812"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7FA9BA8C"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2D6698D4"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5401BC2E" w14:textId="77777777" w:rsidR="00BA7812"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单位公务出国（境）的国际旅费、国外城市间交通费、住宿费、伙食费、培训费、公杂费等支出；公务用车购置</w:t>
      </w:r>
      <w:proofErr w:type="gramStart"/>
      <w:r>
        <w:rPr>
          <w:rFonts w:ascii="仿宋_GB2312" w:eastAsia="仿宋_GB2312" w:hint="eastAsia"/>
          <w:sz w:val="32"/>
          <w:szCs w:val="32"/>
        </w:rPr>
        <w:t>费反映</w:t>
      </w:r>
      <w:proofErr w:type="gramEnd"/>
      <w:r>
        <w:rPr>
          <w:rFonts w:ascii="仿宋_GB2312" w:eastAsia="仿宋_GB2312" w:hint="eastAsia"/>
          <w:sz w:val="32"/>
          <w:szCs w:val="32"/>
        </w:rPr>
        <w:t>公务用车购置支出（</w:t>
      </w:r>
      <w:proofErr w:type="gramStart"/>
      <w:r>
        <w:rPr>
          <w:rFonts w:ascii="仿宋_GB2312" w:eastAsia="仿宋_GB2312" w:hint="eastAsia"/>
          <w:sz w:val="32"/>
          <w:szCs w:val="32"/>
        </w:rPr>
        <w:t>含车辆</w:t>
      </w:r>
      <w:proofErr w:type="gramEnd"/>
      <w:r>
        <w:rPr>
          <w:rFonts w:ascii="仿宋_GB2312" w:eastAsia="仿宋_GB2312" w:hint="eastAsia"/>
          <w:sz w:val="32"/>
          <w:szCs w:val="32"/>
        </w:rPr>
        <w:t>购置税、牌照费）；公务用车运行维护费反映单位按规定保留的公务用车燃料费、维修费、过路过桥费、保险费、安全奖励费用等支出；公务接待</w:t>
      </w:r>
      <w:proofErr w:type="gramStart"/>
      <w:r>
        <w:rPr>
          <w:rFonts w:ascii="仿宋_GB2312" w:eastAsia="仿宋_GB2312" w:hint="eastAsia"/>
          <w:sz w:val="32"/>
          <w:szCs w:val="32"/>
        </w:rPr>
        <w:t>费反映</w:t>
      </w:r>
      <w:proofErr w:type="gramEnd"/>
      <w:r>
        <w:rPr>
          <w:rFonts w:ascii="仿宋_GB2312" w:eastAsia="仿宋_GB2312" w:hint="eastAsia"/>
          <w:sz w:val="32"/>
          <w:szCs w:val="32"/>
        </w:rPr>
        <w:t>单位按规定开支的各类公务接待（含外宾接待）费用。</w:t>
      </w:r>
    </w:p>
    <w:p w14:paraId="619D0F45" w14:textId="77777777" w:rsidR="00BA7812"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615FACBF" w14:textId="77777777" w:rsidR="00BA7812"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E72FDB2" w14:textId="77777777" w:rsidR="00BA7812" w:rsidRDefault="00000000">
      <w:pPr>
        <w:ind w:firstLineChars="200" w:firstLine="640"/>
        <w:outlineLvl w:val="1"/>
        <w:rPr>
          <w:rFonts w:ascii="黑体" w:eastAsia="仿宋_GB2312" w:hAnsi="黑体" w:cs="宋体" w:hint="eastAsia"/>
          <w:bCs/>
          <w:kern w:val="0"/>
          <w:sz w:val="32"/>
          <w:szCs w:val="32"/>
        </w:rPr>
      </w:pPr>
      <w:bookmarkStart w:id="33" w:name="_Toc6062"/>
      <w:bookmarkStart w:id="34" w:name="_Toc2183"/>
      <w:r>
        <w:rPr>
          <w:rFonts w:ascii="黑体" w:eastAsia="仿宋_GB2312" w:hAnsi="黑体" w:cs="宋体" w:hint="eastAsia"/>
          <w:bCs/>
          <w:kern w:val="0"/>
          <w:sz w:val="32"/>
          <w:szCs w:val="32"/>
        </w:rPr>
        <w:t>一、《收入支出决算总表》</w:t>
      </w:r>
      <w:bookmarkEnd w:id="33"/>
      <w:bookmarkEnd w:id="34"/>
    </w:p>
    <w:p w14:paraId="0C7B5522" w14:textId="77777777" w:rsidR="00BA7812" w:rsidRDefault="00000000">
      <w:pPr>
        <w:ind w:firstLineChars="200" w:firstLine="640"/>
        <w:outlineLvl w:val="1"/>
        <w:rPr>
          <w:rFonts w:ascii="黑体" w:eastAsia="仿宋_GB2312" w:hAnsi="黑体" w:cs="宋体" w:hint="eastAsia"/>
          <w:bCs/>
          <w:kern w:val="0"/>
          <w:sz w:val="32"/>
          <w:szCs w:val="32"/>
        </w:rPr>
      </w:pPr>
      <w:bookmarkStart w:id="35" w:name="_Toc30364"/>
      <w:bookmarkStart w:id="36" w:name="_Toc24532"/>
      <w:r>
        <w:rPr>
          <w:rFonts w:ascii="黑体" w:eastAsia="仿宋_GB2312" w:hAnsi="黑体" w:cs="宋体" w:hint="eastAsia"/>
          <w:bCs/>
          <w:kern w:val="0"/>
          <w:sz w:val="32"/>
          <w:szCs w:val="32"/>
        </w:rPr>
        <w:t>二、《收入决算表》</w:t>
      </w:r>
      <w:bookmarkEnd w:id="35"/>
      <w:bookmarkEnd w:id="36"/>
    </w:p>
    <w:p w14:paraId="727DA70E" w14:textId="77777777" w:rsidR="00BA7812" w:rsidRDefault="00000000">
      <w:pPr>
        <w:ind w:firstLineChars="200" w:firstLine="640"/>
        <w:outlineLvl w:val="1"/>
        <w:rPr>
          <w:rFonts w:ascii="黑体" w:eastAsia="仿宋_GB2312" w:hAnsi="黑体" w:cs="宋体" w:hint="eastAsia"/>
          <w:bCs/>
          <w:kern w:val="0"/>
          <w:sz w:val="32"/>
          <w:szCs w:val="32"/>
        </w:rPr>
      </w:pPr>
      <w:bookmarkStart w:id="37" w:name="_Toc32434"/>
      <w:bookmarkStart w:id="38" w:name="_Toc21304"/>
      <w:r>
        <w:rPr>
          <w:rFonts w:ascii="黑体" w:eastAsia="仿宋_GB2312" w:hAnsi="黑体" w:cs="宋体" w:hint="eastAsia"/>
          <w:bCs/>
          <w:kern w:val="0"/>
          <w:sz w:val="32"/>
          <w:szCs w:val="32"/>
        </w:rPr>
        <w:t>三、《支出决算表》</w:t>
      </w:r>
      <w:bookmarkEnd w:id="37"/>
      <w:bookmarkEnd w:id="38"/>
    </w:p>
    <w:p w14:paraId="597EBCA5" w14:textId="77777777" w:rsidR="00BA7812" w:rsidRDefault="00000000">
      <w:pPr>
        <w:ind w:firstLineChars="200" w:firstLine="640"/>
        <w:outlineLvl w:val="1"/>
        <w:rPr>
          <w:rFonts w:ascii="黑体" w:eastAsia="仿宋_GB2312" w:hAnsi="黑体" w:cs="宋体" w:hint="eastAsia"/>
          <w:bCs/>
          <w:kern w:val="0"/>
          <w:sz w:val="32"/>
          <w:szCs w:val="32"/>
        </w:rPr>
      </w:pPr>
      <w:bookmarkStart w:id="39" w:name="_Toc14238"/>
      <w:bookmarkStart w:id="40" w:name="_Toc28786"/>
      <w:r>
        <w:rPr>
          <w:rFonts w:ascii="黑体" w:eastAsia="仿宋_GB2312" w:hAnsi="黑体" w:cs="宋体" w:hint="eastAsia"/>
          <w:bCs/>
          <w:kern w:val="0"/>
          <w:sz w:val="32"/>
          <w:szCs w:val="32"/>
        </w:rPr>
        <w:t>四、《财政拨款收入支出决算总表》</w:t>
      </w:r>
      <w:bookmarkEnd w:id="39"/>
      <w:bookmarkEnd w:id="40"/>
    </w:p>
    <w:p w14:paraId="6E17E9D1" w14:textId="77777777" w:rsidR="00BA7812" w:rsidRDefault="00000000">
      <w:pPr>
        <w:ind w:firstLineChars="200" w:firstLine="640"/>
        <w:outlineLvl w:val="1"/>
        <w:rPr>
          <w:rFonts w:ascii="黑体" w:eastAsia="仿宋_GB2312" w:hAnsi="黑体" w:cs="宋体" w:hint="eastAsia"/>
          <w:bCs/>
          <w:kern w:val="0"/>
          <w:sz w:val="32"/>
          <w:szCs w:val="32"/>
        </w:rPr>
      </w:pPr>
      <w:bookmarkStart w:id="41" w:name="_Toc14869"/>
      <w:bookmarkStart w:id="42" w:name="_Toc10347"/>
      <w:r>
        <w:rPr>
          <w:rFonts w:ascii="黑体" w:eastAsia="仿宋_GB2312" w:hAnsi="黑体" w:cs="宋体" w:hint="eastAsia"/>
          <w:bCs/>
          <w:kern w:val="0"/>
          <w:sz w:val="32"/>
          <w:szCs w:val="32"/>
        </w:rPr>
        <w:t>五、《一般公共预算财政拨款支出决算表》</w:t>
      </w:r>
      <w:bookmarkEnd w:id="41"/>
      <w:bookmarkEnd w:id="42"/>
    </w:p>
    <w:p w14:paraId="2671FC00" w14:textId="77777777" w:rsidR="00BA7812" w:rsidRDefault="00000000">
      <w:pPr>
        <w:ind w:firstLineChars="200" w:firstLine="640"/>
        <w:outlineLvl w:val="1"/>
        <w:rPr>
          <w:rFonts w:ascii="黑体" w:eastAsia="仿宋_GB2312" w:hAnsi="黑体" w:cs="宋体" w:hint="eastAsia"/>
          <w:bCs/>
          <w:kern w:val="0"/>
          <w:sz w:val="32"/>
          <w:szCs w:val="32"/>
        </w:rPr>
      </w:pPr>
      <w:bookmarkStart w:id="43" w:name="_Toc5626"/>
      <w:bookmarkStart w:id="44" w:name="_Toc8884"/>
      <w:r>
        <w:rPr>
          <w:rFonts w:ascii="黑体" w:eastAsia="仿宋_GB2312" w:hAnsi="黑体" w:cs="宋体" w:hint="eastAsia"/>
          <w:bCs/>
          <w:kern w:val="0"/>
          <w:sz w:val="32"/>
          <w:szCs w:val="32"/>
        </w:rPr>
        <w:t>六、《一般公共预算财政拨款基本支出决算表》</w:t>
      </w:r>
      <w:bookmarkEnd w:id="43"/>
      <w:bookmarkEnd w:id="44"/>
    </w:p>
    <w:p w14:paraId="7DDD5640"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5" w:name="_Toc29106"/>
      <w:bookmarkStart w:id="46" w:name="_Toc32663"/>
      <w:r>
        <w:rPr>
          <w:rFonts w:ascii="黑体" w:eastAsia="仿宋_GB2312" w:hAnsi="黑体" w:cs="宋体" w:hint="eastAsia"/>
          <w:bCs/>
          <w:kern w:val="0"/>
          <w:sz w:val="32"/>
          <w:szCs w:val="32"/>
        </w:rPr>
        <w:t>《财政拨款“三公”经费支出决算表》</w:t>
      </w:r>
      <w:bookmarkEnd w:id="45"/>
      <w:bookmarkEnd w:id="46"/>
    </w:p>
    <w:p w14:paraId="2F42D5AE" w14:textId="77777777" w:rsidR="00BA7812" w:rsidRDefault="00000000">
      <w:pPr>
        <w:ind w:firstLineChars="200" w:firstLine="640"/>
        <w:outlineLvl w:val="1"/>
        <w:rPr>
          <w:rFonts w:ascii="黑体" w:eastAsia="仿宋_GB2312" w:hAnsi="黑体" w:cs="宋体" w:hint="eastAsia"/>
          <w:bCs/>
          <w:kern w:val="0"/>
          <w:sz w:val="32"/>
          <w:szCs w:val="32"/>
        </w:rPr>
      </w:pPr>
      <w:bookmarkStart w:id="47" w:name="_Toc5453"/>
      <w:bookmarkStart w:id="48" w:name="_Toc7643"/>
      <w:r>
        <w:rPr>
          <w:rFonts w:ascii="黑体" w:eastAsia="仿宋_GB2312" w:hAnsi="黑体" w:cs="宋体" w:hint="eastAsia"/>
          <w:bCs/>
          <w:kern w:val="0"/>
          <w:sz w:val="32"/>
          <w:szCs w:val="32"/>
        </w:rPr>
        <w:t>八、《政府性基金预算财政拨款收入支出决算表》</w:t>
      </w:r>
      <w:bookmarkEnd w:id="47"/>
      <w:bookmarkEnd w:id="48"/>
    </w:p>
    <w:p w14:paraId="320C3493" w14:textId="77777777" w:rsidR="00BA7812"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949C65E" w14:textId="77777777" w:rsidR="00BA7812" w:rsidRDefault="00BA7812">
      <w:pPr>
        <w:ind w:firstLineChars="200" w:firstLine="640"/>
        <w:rPr>
          <w:rFonts w:ascii="仿宋_GB2312" w:eastAsia="仿宋_GB2312"/>
          <w:sz w:val="32"/>
          <w:szCs w:val="32"/>
        </w:rPr>
      </w:pPr>
    </w:p>
    <w:p w14:paraId="3E4BCB41" w14:textId="77777777" w:rsidR="00BA7812" w:rsidRDefault="00BA7812">
      <w:pPr>
        <w:ind w:firstLineChars="200" w:firstLine="640"/>
        <w:outlineLvl w:val="1"/>
        <w:rPr>
          <w:rFonts w:ascii="黑体" w:eastAsia="黑体" w:hAnsi="黑体" w:cs="宋体" w:hint="eastAsia"/>
          <w:bCs/>
          <w:kern w:val="0"/>
          <w:sz w:val="32"/>
          <w:szCs w:val="32"/>
        </w:rPr>
      </w:pPr>
    </w:p>
    <w:sectPr w:rsidR="00BA7812">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BFC66" w14:textId="77777777" w:rsidR="003B4706" w:rsidRDefault="003B4706">
      <w:r>
        <w:separator/>
      </w:r>
    </w:p>
  </w:endnote>
  <w:endnote w:type="continuationSeparator" w:id="0">
    <w:p w14:paraId="3F35D62A" w14:textId="77777777" w:rsidR="003B4706" w:rsidRDefault="003B4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0B7D0C" w14:textId="77777777" w:rsidR="00BA7812" w:rsidRDefault="00000000">
    <w:pPr>
      <w:pStyle w:val="a4"/>
    </w:pPr>
    <w:r>
      <w:rPr>
        <w:noProof/>
      </w:rPr>
      <mc:AlternateContent>
        <mc:Choice Requires="wps">
          <w:drawing>
            <wp:anchor distT="0" distB="0" distL="114300" distR="114300" simplePos="0" relativeHeight="251659264" behindDoc="0" locked="0" layoutInCell="1" allowOverlap="1" wp14:anchorId="1D0FB33B" wp14:editId="7E5B902F">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D0FB33B"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9B74C4B" w14:textId="77777777" w:rsidR="00BA7812"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440145" w14:textId="77777777" w:rsidR="003B4706" w:rsidRDefault="003B4706">
      <w:r>
        <w:separator/>
      </w:r>
    </w:p>
  </w:footnote>
  <w:footnote w:type="continuationSeparator" w:id="0">
    <w:p w14:paraId="4ACE6A8A" w14:textId="77777777" w:rsidR="003B4706" w:rsidRDefault="003B4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7551749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FB19DE"/>
    <w:rsid w:val="0007722A"/>
    <w:rsid w:val="001F20C7"/>
    <w:rsid w:val="00205D05"/>
    <w:rsid w:val="00212429"/>
    <w:rsid w:val="00213C59"/>
    <w:rsid w:val="00255C51"/>
    <w:rsid w:val="003210CE"/>
    <w:rsid w:val="00396DF0"/>
    <w:rsid w:val="003A2F91"/>
    <w:rsid w:val="003A3015"/>
    <w:rsid w:val="003B4706"/>
    <w:rsid w:val="0078238C"/>
    <w:rsid w:val="008454D3"/>
    <w:rsid w:val="009C7052"/>
    <w:rsid w:val="00B70D59"/>
    <w:rsid w:val="00BA7812"/>
    <w:rsid w:val="00C35277"/>
    <w:rsid w:val="00CB683B"/>
    <w:rsid w:val="00EE64AA"/>
    <w:rsid w:val="00F52A8D"/>
    <w:rsid w:val="00FB19DE"/>
    <w:rsid w:val="00FB26BA"/>
    <w:rsid w:val="00FB6449"/>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6577AD"/>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C37310"/>
  <w15:docId w15:val="{D7928E33-2685-4715-B7BA-89A48965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18</Pages>
  <Words>1233</Words>
  <Characters>7031</Characters>
  <Application>Microsoft Office Word</Application>
  <DocSecurity>0</DocSecurity>
  <Lines>58</Lines>
  <Paragraphs>16</Paragraphs>
  <ScaleCrop>false</ScaleCrop>
  <Company/>
  <LinksUpToDate>false</LinksUpToDate>
  <CharactersWithSpaces>8248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俊俊 李</cp:lastModifiedBy>
  <cp:revision>6</cp:revision>
  <dcterms:created xsi:type="dcterms:W3CDTF">2014-10-29T12:08:00Z</dcterms:created>
  <dcterms:modified xsi:type="dcterms:W3CDTF">2024-11-12T10:21:00Z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